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9E6" w:rsidRDefault="006C0149">
      <w:pPr>
        <w:spacing w:before="74" w:line="276" w:lineRule="auto"/>
        <w:ind w:left="3933" w:right="211" w:hanging="1569"/>
        <w:rPr>
          <w:b/>
          <w:sz w:val="28"/>
        </w:rPr>
      </w:pPr>
      <w:r>
        <w:pict>
          <v:group id="_x0000_s1026" style="position:absolute;left:0;text-align:left;margin-left:72.2pt;margin-top:4.2pt;width:98.9pt;height:570.45pt;z-index:1144;mso-position-horizontal-relative:page" coordorigin="1444,84" coordsize="1978,11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444;top:84;width:1956;height:11408">
              <v:imagedata r:id="rId8" o:title=""/>
            </v:shape>
            <v:shapetype id="_x0000_t202" coordsize="21600,21600" o:spt="202" path="m,l,21600r21600,l21600,xe">
              <v:stroke joinstyle="miter"/>
              <v:path gradientshapeok="t" o:connecttype="rect"/>
            </v:shapetype>
            <v:shape id="_x0000_s1030" type="#_x0000_t202" style="position:absolute;left:1452;top:83;width:1958;height:975" filled="f" stroked="f">
              <v:textbox inset="0,0,0,0">
                <w:txbxContent>
                  <w:p w:rsidR="000259E6" w:rsidRDefault="006C0149">
                    <w:pPr>
                      <w:spacing w:line="179" w:lineRule="exact"/>
                      <w:ind w:left="2" w:right="21"/>
                      <w:jc w:val="center"/>
                      <w:rPr>
                        <w:sz w:val="16"/>
                      </w:rPr>
                    </w:pPr>
                    <w:r>
                      <w:rPr>
                        <w:sz w:val="16"/>
                      </w:rPr>
                      <w:t>Revista Médica Sinergia</w:t>
                    </w:r>
                  </w:p>
                  <w:p w:rsidR="000259E6" w:rsidRDefault="000259E6">
                    <w:pPr>
                      <w:spacing w:before="9"/>
                      <w:rPr>
                        <w:sz w:val="18"/>
                      </w:rPr>
                    </w:pPr>
                  </w:p>
                  <w:p w:rsidR="000259E6" w:rsidRDefault="006C0149">
                    <w:pPr>
                      <w:ind w:left="2" w:right="24"/>
                      <w:jc w:val="center"/>
                      <w:rPr>
                        <w:sz w:val="16"/>
                      </w:rPr>
                    </w:pPr>
                    <w:r>
                      <w:rPr>
                        <w:sz w:val="16"/>
                      </w:rPr>
                      <w:t>ISSN 2215-4523</w:t>
                    </w:r>
                  </w:p>
                  <w:p w:rsidR="000259E6" w:rsidRDefault="006C0149">
                    <w:pPr>
                      <w:spacing w:before="12"/>
                      <w:ind w:left="2" w:right="16"/>
                      <w:jc w:val="center"/>
                      <w:rPr>
                        <w:sz w:val="16"/>
                      </w:rPr>
                    </w:pPr>
                    <w:r>
                      <w:rPr>
                        <w:sz w:val="16"/>
                      </w:rPr>
                      <w:t>Vol.2 Núm.: 11</w:t>
                    </w:r>
                  </w:p>
                  <w:p w:rsidR="000259E6" w:rsidRDefault="006C0149">
                    <w:pPr>
                      <w:spacing w:before="16"/>
                      <w:ind w:left="2" w:right="20"/>
                      <w:jc w:val="center"/>
                      <w:rPr>
                        <w:sz w:val="16"/>
                      </w:rPr>
                    </w:pPr>
                    <w:r>
                      <w:rPr>
                        <w:sz w:val="16"/>
                      </w:rPr>
                      <w:t xml:space="preserve">Noviembre 2017 </w:t>
                    </w:r>
                    <w:proofErr w:type="spellStart"/>
                    <w:r>
                      <w:rPr>
                        <w:sz w:val="16"/>
                      </w:rPr>
                      <w:t>pp</w:t>
                    </w:r>
                    <w:proofErr w:type="spellEnd"/>
                    <w:r>
                      <w:rPr>
                        <w:sz w:val="16"/>
                      </w:rPr>
                      <w:t>: 7 - 12</w:t>
                    </w:r>
                  </w:p>
                </w:txbxContent>
              </v:textbox>
            </v:shape>
            <v:shape id="_x0000_s1029" type="#_x0000_t202" style="position:absolute;left:1444;top:10454;width:861;height:379" filled="f" stroked="f">
              <v:textbox inset="0,0,0,0">
                <w:txbxContent>
                  <w:p w:rsidR="000259E6" w:rsidRDefault="006C0149">
                    <w:pPr>
                      <w:spacing w:line="261" w:lineRule="auto"/>
                      <w:ind w:right="-4"/>
                      <w:rPr>
                        <w:sz w:val="16"/>
                      </w:rPr>
                    </w:pPr>
                    <w:r>
                      <w:rPr>
                        <w:sz w:val="16"/>
                      </w:rPr>
                      <w:t>*Médico Universidad</w:t>
                    </w:r>
                  </w:p>
                </w:txbxContent>
              </v:textbox>
            </v:shape>
            <v:shape id="_x0000_s1028" type="#_x0000_t202" style="position:absolute;left:2784;top:10454;width:634;height:379" filled="f" stroked="f">
              <v:textbox inset="0,0,0,0">
                <w:txbxContent>
                  <w:p w:rsidR="000259E6" w:rsidRDefault="006C0149">
                    <w:pPr>
                      <w:spacing w:line="179" w:lineRule="exact"/>
                      <w:ind w:right="19"/>
                      <w:jc w:val="right"/>
                      <w:rPr>
                        <w:sz w:val="16"/>
                      </w:rPr>
                    </w:pPr>
                    <w:r>
                      <w:rPr>
                        <w:spacing w:val="-1"/>
                        <w:sz w:val="16"/>
                      </w:rPr>
                      <w:t>General.</w:t>
                    </w:r>
                  </w:p>
                  <w:p w:rsidR="000259E6" w:rsidRDefault="006C0149">
                    <w:pPr>
                      <w:spacing w:before="16"/>
                      <w:ind w:right="18"/>
                      <w:jc w:val="right"/>
                      <w:rPr>
                        <w:sz w:val="16"/>
                      </w:rPr>
                    </w:pPr>
                    <w:proofErr w:type="gramStart"/>
                    <w:r>
                      <w:rPr>
                        <w:spacing w:val="-1"/>
                        <w:sz w:val="16"/>
                      </w:rPr>
                      <w:t>de</w:t>
                    </w:r>
                    <w:proofErr w:type="gramEnd"/>
                  </w:p>
                </w:txbxContent>
              </v:textbox>
            </v:shape>
            <v:shape id="_x0000_s1027" type="#_x0000_t202" style="position:absolute;left:1444;top:10854;width:1978;height:375" filled="f" stroked="f">
              <v:textbox inset="0,0,0,0">
                <w:txbxContent>
                  <w:p w:rsidR="000259E6" w:rsidRDefault="006C0149">
                    <w:pPr>
                      <w:spacing w:line="256" w:lineRule="auto"/>
                      <w:ind w:right="18"/>
                      <w:rPr>
                        <w:sz w:val="16"/>
                      </w:rPr>
                    </w:pPr>
                    <w:r>
                      <w:rPr>
                        <w:sz w:val="16"/>
                      </w:rPr>
                      <w:t>Iberoamérica (UNIBE). San José- Costa Rica.</w:t>
                    </w:r>
                  </w:p>
                </w:txbxContent>
              </v:textbox>
            </v:shape>
            <w10:wrap anchorx="page"/>
          </v:group>
        </w:pict>
      </w:r>
      <w:r>
        <w:rPr>
          <w:b/>
          <w:sz w:val="28"/>
        </w:rPr>
        <w:t>RELACIÓN ENTRE EL DISPOSITIVO INTRAUTERINO Y LA NEOPLASIA CERVICAL</w:t>
      </w:r>
    </w:p>
    <w:p w:rsidR="000259E6" w:rsidRPr="00C04C94" w:rsidRDefault="006C0149">
      <w:pPr>
        <w:spacing w:before="48"/>
        <w:ind w:left="2385"/>
        <w:rPr>
          <w:sz w:val="20"/>
          <w:lang w:val="en-US"/>
        </w:rPr>
      </w:pPr>
      <w:r w:rsidRPr="00C04C94">
        <w:rPr>
          <w:sz w:val="24"/>
          <w:lang w:val="en-US"/>
        </w:rPr>
        <w:t>(</w:t>
      </w:r>
      <w:r w:rsidRPr="00C04C94">
        <w:rPr>
          <w:sz w:val="20"/>
          <w:lang w:val="en-US"/>
        </w:rPr>
        <w:t>RELATION BETWEEN INTRAUTERINE DEVICE AND CERVICAL CANCER)</w:t>
      </w:r>
    </w:p>
    <w:p w:rsidR="000259E6" w:rsidRPr="00C04C94" w:rsidRDefault="000259E6">
      <w:pPr>
        <w:pStyle w:val="Textoindependiente"/>
        <w:spacing w:before="8"/>
        <w:ind w:left="0"/>
        <w:jc w:val="left"/>
        <w:rPr>
          <w:sz w:val="25"/>
          <w:lang w:val="en-US"/>
        </w:rPr>
      </w:pPr>
    </w:p>
    <w:p w:rsidR="000259E6" w:rsidRDefault="006C0149">
      <w:pPr>
        <w:pStyle w:val="Textoindependiente"/>
        <w:ind w:left="0" w:right="114"/>
        <w:jc w:val="right"/>
      </w:pPr>
      <w:r>
        <w:t>* Mónica Sánchez Villalobos</w:t>
      </w:r>
    </w:p>
    <w:p w:rsidR="000259E6" w:rsidRDefault="000259E6">
      <w:pPr>
        <w:pStyle w:val="Textoindependiente"/>
        <w:spacing w:before="2"/>
        <w:ind w:left="0"/>
        <w:jc w:val="left"/>
        <w:rPr>
          <w:sz w:val="15"/>
        </w:rPr>
      </w:pPr>
    </w:p>
    <w:p w:rsidR="000259E6" w:rsidRDefault="006C0149">
      <w:pPr>
        <w:pStyle w:val="Textoindependiente"/>
        <w:spacing w:before="93"/>
        <w:ind w:left="2308"/>
      </w:pPr>
      <w:r>
        <w:rPr>
          <w:noProof/>
          <w:lang w:val="es-ES" w:eastAsia="es-ES" w:bidi="ar-SA"/>
        </w:rPr>
        <w:drawing>
          <wp:anchor distT="0" distB="0" distL="0" distR="0" simplePos="0" relativeHeight="268428359" behindDoc="1" locked="0" layoutInCell="1" allowOverlap="1">
            <wp:simplePos x="0" y="0"/>
            <wp:positionH relativeFrom="page">
              <wp:posOffset>2219325</wp:posOffset>
            </wp:positionH>
            <wp:positionV relativeFrom="paragraph">
              <wp:posOffset>11022</wp:posOffset>
            </wp:positionV>
            <wp:extent cx="4610100" cy="6105524"/>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9" cstate="print"/>
                    <a:stretch>
                      <a:fillRect/>
                    </a:stretch>
                  </pic:blipFill>
                  <pic:spPr>
                    <a:xfrm>
                      <a:off x="0" y="0"/>
                      <a:ext cx="4610100" cy="6105524"/>
                    </a:xfrm>
                    <a:prstGeom prst="rect">
                      <a:avLst/>
                    </a:prstGeom>
                  </pic:spPr>
                </pic:pic>
              </a:graphicData>
            </a:graphic>
          </wp:anchor>
        </w:drawing>
      </w:r>
      <w:r>
        <w:t>RESUMEN</w:t>
      </w:r>
    </w:p>
    <w:p w:rsidR="000259E6" w:rsidRDefault="006C0149">
      <w:pPr>
        <w:pStyle w:val="Textoindependiente"/>
        <w:spacing w:before="39" w:line="276" w:lineRule="auto"/>
        <w:ind w:left="2308" w:right="306"/>
      </w:pPr>
      <w:r>
        <w:t>Los cánceres de cuello uterino representan un problema de salud pública en todo el mundo, que necesita una intervención temprana y tiene una relación causal en</w:t>
      </w:r>
      <w:r>
        <w:t>tre el virus del papiloma humano (VPH) y el cáncer de cuello uterino. Los tipos de VPH 16 y 18 son los dos VPH de alto riesgo que causan aproximadamente el 70% de las lesiones precancerosas y los cánceres de cuello</w:t>
      </w:r>
      <w:r>
        <w:rPr>
          <w:spacing w:val="-11"/>
        </w:rPr>
        <w:t xml:space="preserve"> </w:t>
      </w:r>
      <w:r>
        <w:t>uterino.</w:t>
      </w:r>
    </w:p>
    <w:p w:rsidR="000259E6" w:rsidRDefault="006C0149">
      <w:pPr>
        <w:pStyle w:val="Textoindependiente"/>
        <w:spacing w:before="3" w:line="276" w:lineRule="auto"/>
        <w:ind w:left="2308" w:right="310"/>
      </w:pPr>
      <w:r>
        <w:t xml:space="preserve">Los estudios sobre dispositivos </w:t>
      </w:r>
      <w:r>
        <w:t xml:space="preserve">intrauterinos sugieren que </w:t>
      </w:r>
      <w:r>
        <w:rPr>
          <w:spacing w:val="-3"/>
        </w:rPr>
        <w:t xml:space="preserve">no  </w:t>
      </w:r>
      <w:r>
        <w:t xml:space="preserve">modifican </w:t>
      </w:r>
      <w:r>
        <w:rPr>
          <w:spacing w:val="-3"/>
        </w:rPr>
        <w:t xml:space="preserve">la </w:t>
      </w:r>
      <w:r>
        <w:t xml:space="preserve">prevalencia de </w:t>
      </w:r>
      <w:r>
        <w:rPr>
          <w:spacing w:val="-3"/>
        </w:rPr>
        <w:t xml:space="preserve">la </w:t>
      </w:r>
      <w:r>
        <w:t>infección por VPH, sino su progresión hacia el cáncer de cuello</w:t>
      </w:r>
      <w:r>
        <w:rPr>
          <w:spacing w:val="-10"/>
        </w:rPr>
        <w:t xml:space="preserve"> </w:t>
      </w:r>
      <w:r>
        <w:t>uterino.</w:t>
      </w:r>
    </w:p>
    <w:p w:rsidR="000259E6" w:rsidRDefault="006C0149">
      <w:pPr>
        <w:pStyle w:val="Textoindependiente"/>
        <w:spacing w:line="276" w:lineRule="auto"/>
        <w:ind w:left="2308" w:right="317"/>
      </w:pPr>
      <w:r>
        <w:t>Muchos estudios publicados sobre dispositivos intrauterinos (DIU) sugieren que no pueden modificar la prevalencia de la i</w:t>
      </w:r>
      <w:r>
        <w:t>nfección por VPH, pero pueden modificar el progreso del cáncer de cuello uterino.</w:t>
      </w:r>
    </w:p>
    <w:p w:rsidR="000259E6" w:rsidRDefault="000259E6">
      <w:pPr>
        <w:pStyle w:val="Textoindependiente"/>
        <w:spacing w:before="9"/>
        <w:ind w:left="0"/>
        <w:jc w:val="left"/>
        <w:rPr>
          <w:sz w:val="20"/>
        </w:rPr>
      </w:pPr>
    </w:p>
    <w:p w:rsidR="000259E6" w:rsidRDefault="006C0149">
      <w:pPr>
        <w:pStyle w:val="Textoindependiente"/>
        <w:ind w:left="2308"/>
      </w:pPr>
      <w:r>
        <w:t>DESCRIPTORES</w:t>
      </w:r>
    </w:p>
    <w:p w:rsidR="000259E6" w:rsidRDefault="006C0149">
      <w:pPr>
        <w:pStyle w:val="Textoindependiente"/>
        <w:spacing w:before="39" w:line="273" w:lineRule="auto"/>
        <w:ind w:left="2308" w:right="392"/>
        <w:jc w:val="left"/>
      </w:pPr>
      <w:r>
        <w:t xml:space="preserve">Cáncer cervical, virus del papiloma humano, dispositivos intrauterinos, </w:t>
      </w:r>
      <w:bookmarkStart w:id="0" w:name="_GoBack"/>
      <w:r>
        <w:t>infección, colposcopia</w:t>
      </w:r>
      <w:bookmarkEnd w:id="0"/>
      <w:r>
        <w:t>.</w:t>
      </w:r>
    </w:p>
    <w:p w:rsidR="000259E6" w:rsidRDefault="000259E6">
      <w:pPr>
        <w:pStyle w:val="Textoindependiente"/>
        <w:spacing w:before="1"/>
        <w:ind w:left="0"/>
        <w:jc w:val="left"/>
        <w:rPr>
          <w:sz w:val="21"/>
        </w:rPr>
      </w:pPr>
    </w:p>
    <w:p w:rsidR="000259E6" w:rsidRPr="00C04C94" w:rsidRDefault="006C0149">
      <w:pPr>
        <w:pStyle w:val="Textoindependiente"/>
        <w:spacing w:before="1"/>
        <w:ind w:left="2308"/>
        <w:rPr>
          <w:lang w:val="en-US"/>
        </w:rPr>
      </w:pPr>
      <w:r w:rsidRPr="00C04C94">
        <w:rPr>
          <w:lang w:val="en-US"/>
        </w:rPr>
        <w:t>SUMMARY</w:t>
      </w:r>
    </w:p>
    <w:p w:rsidR="000259E6" w:rsidRPr="00C04C94" w:rsidRDefault="006C0149">
      <w:pPr>
        <w:pStyle w:val="Textoindependiente"/>
        <w:spacing w:before="39" w:line="276" w:lineRule="auto"/>
        <w:ind w:left="2308" w:right="300"/>
        <w:rPr>
          <w:lang w:val="en-US"/>
        </w:rPr>
      </w:pPr>
      <w:r w:rsidRPr="00C04C94">
        <w:rPr>
          <w:lang w:val="en-US"/>
        </w:rPr>
        <w:t xml:space="preserve">Cervical cancers represent a public health problem worldwide, which needs an early intervention and has a causal relation between Human Papilloma Virus (HPV) and cervical </w:t>
      </w:r>
      <w:proofErr w:type="gramStart"/>
      <w:r w:rsidRPr="00C04C94">
        <w:rPr>
          <w:lang w:val="en-US"/>
        </w:rPr>
        <w:t>cancer .</w:t>
      </w:r>
      <w:proofErr w:type="gramEnd"/>
      <w:r w:rsidRPr="00C04C94">
        <w:rPr>
          <w:lang w:val="en-US"/>
        </w:rPr>
        <w:t xml:space="preserve"> HPV types 16 and </w:t>
      </w:r>
      <w:proofErr w:type="gramStart"/>
      <w:r w:rsidRPr="00C04C94">
        <w:rPr>
          <w:lang w:val="en-US"/>
        </w:rPr>
        <w:t>18,</w:t>
      </w:r>
      <w:proofErr w:type="gramEnd"/>
      <w:r w:rsidRPr="00C04C94">
        <w:rPr>
          <w:lang w:val="en-US"/>
        </w:rPr>
        <w:t xml:space="preserve"> are the two high-risk HPVs that cause about 70% of prec</w:t>
      </w:r>
      <w:r w:rsidRPr="00C04C94">
        <w:rPr>
          <w:lang w:val="en-US"/>
        </w:rPr>
        <w:t>ancerous lesions and cervical cancers.</w:t>
      </w:r>
    </w:p>
    <w:p w:rsidR="000259E6" w:rsidRPr="00C04C94" w:rsidRDefault="006C0149">
      <w:pPr>
        <w:pStyle w:val="Textoindependiente"/>
        <w:spacing w:before="2" w:line="273" w:lineRule="auto"/>
        <w:ind w:left="2308" w:right="315"/>
        <w:rPr>
          <w:lang w:val="en-US"/>
        </w:rPr>
      </w:pPr>
      <w:r w:rsidRPr="00C04C94">
        <w:rPr>
          <w:lang w:val="en-US"/>
        </w:rPr>
        <w:t>Studies on intrauterine devices suggest that they do not modify the prevalence of HPV infection, but its progression to cervical cancer.</w:t>
      </w:r>
    </w:p>
    <w:p w:rsidR="000259E6" w:rsidRPr="00C04C94" w:rsidRDefault="006C0149">
      <w:pPr>
        <w:pStyle w:val="Textoindependiente"/>
        <w:spacing w:before="3" w:line="276" w:lineRule="auto"/>
        <w:ind w:left="2308" w:right="315"/>
        <w:rPr>
          <w:lang w:val="en-US"/>
        </w:rPr>
      </w:pPr>
      <w:r w:rsidRPr="00C04C94">
        <w:rPr>
          <w:lang w:val="en-US"/>
        </w:rPr>
        <w:t>Many studies published on intrauterine devices (IUDs) suggest that they cannot m</w:t>
      </w:r>
      <w:r w:rsidRPr="00C04C94">
        <w:rPr>
          <w:lang w:val="en-US"/>
        </w:rPr>
        <w:t>odify the prevalence of HPV infection, but they can modify the cervical cancer</w:t>
      </w:r>
      <w:r w:rsidRPr="00C04C94">
        <w:rPr>
          <w:spacing w:val="-11"/>
          <w:lang w:val="en-US"/>
        </w:rPr>
        <w:t xml:space="preserve"> </w:t>
      </w:r>
      <w:r w:rsidRPr="00C04C94">
        <w:rPr>
          <w:lang w:val="en-US"/>
        </w:rPr>
        <w:t>progress.</w:t>
      </w:r>
    </w:p>
    <w:p w:rsidR="000259E6" w:rsidRPr="00C04C94" w:rsidRDefault="000259E6">
      <w:pPr>
        <w:pStyle w:val="Textoindependiente"/>
        <w:spacing w:before="9"/>
        <w:ind w:left="0"/>
        <w:jc w:val="left"/>
        <w:rPr>
          <w:sz w:val="20"/>
          <w:lang w:val="en-US"/>
        </w:rPr>
      </w:pPr>
    </w:p>
    <w:p w:rsidR="000259E6" w:rsidRPr="00C04C94" w:rsidRDefault="006C0149">
      <w:pPr>
        <w:pStyle w:val="Textoindependiente"/>
        <w:ind w:left="2308"/>
        <w:rPr>
          <w:lang w:val="en-US"/>
        </w:rPr>
      </w:pPr>
      <w:r w:rsidRPr="00C04C94">
        <w:rPr>
          <w:lang w:val="en-US"/>
        </w:rPr>
        <w:t>KEYWORDS</w:t>
      </w:r>
    </w:p>
    <w:p w:rsidR="000259E6" w:rsidRPr="00C04C94" w:rsidRDefault="006C0149">
      <w:pPr>
        <w:pStyle w:val="Textoindependiente"/>
        <w:spacing w:before="39" w:line="280" w:lineRule="auto"/>
        <w:ind w:left="2308" w:right="354"/>
        <w:rPr>
          <w:lang w:val="en-US"/>
        </w:rPr>
      </w:pPr>
      <w:proofErr w:type="gramStart"/>
      <w:r w:rsidRPr="00C04C94">
        <w:rPr>
          <w:lang w:val="en-US"/>
        </w:rPr>
        <w:t>Cervical cancers, human papillomavirus, intrauterine devices,</w:t>
      </w:r>
      <w:r w:rsidRPr="00C04C94">
        <w:rPr>
          <w:spacing w:val="-41"/>
          <w:lang w:val="en-US"/>
        </w:rPr>
        <w:t xml:space="preserve"> </w:t>
      </w:r>
      <w:r w:rsidRPr="00C04C94">
        <w:rPr>
          <w:lang w:val="en-US"/>
        </w:rPr>
        <w:t>infection, colposcopy.</w:t>
      </w:r>
      <w:proofErr w:type="gramEnd"/>
    </w:p>
    <w:p w:rsidR="000259E6" w:rsidRPr="00C04C94" w:rsidRDefault="000259E6">
      <w:pPr>
        <w:spacing w:line="280" w:lineRule="auto"/>
        <w:rPr>
          <w:lang w:val="en-US"/>
        </w:rPr>
        <w:sectPr w:rsidR="000259E6" w:rsidRPr="00C04C94">
          <w:footerReference w:type="even" r:id="rId10"/>
          <w:footerReference w:type="default" r:id="rId11"/>
          <w:type w:val="continuous"/>
          <w:pgSz w:w="12240" w:h="15840"/>
          <w:pgMar w:top="1360" w:right="1320" w:bottom="1080" w:left="1340" w:header="720" w:footer="874" w:gutter="0"/>
          <w:pgNumType w:start="7"/>
          <w:cols w:space="720"/>
        </w:sectPr>
      </w:pPr>
    </w:p>
    <w:p w:rsidR="000259E6" w:rsidRPr="00C04C94" w:rsidRDefault="000259E6">
      <w:pPr>
        <w:pStyle w:val="Textoindependiente"/>
        <w:ind w:left="0"/>
        <w:jc w:val="left"/>
        <w:rPr>
          <w:sz w:val="26"/>
          <w:lang w:val="en-US"/>
        </w:rPr>
      </w:pPr>
    </w:p>
    <w:p w:rsidR="000259E6" w:rsidRDefault="006C0149">
      <w:pPr>
        <w:pStyle w:val="Ttulo1"/>
        <w:spacing w:line="276" w:lineRule="auto"/>
        <w:ind w:right="38"/>
      </w:pPr>
      <w:r>
        <w:t>GENERALIDADES DEL VIRUS DE PAPILOMA HUMANO Y NEOPLASIA CERVICAL</w:t>
      </w:r>
    </w:p>
    <w:p w:rsidR="000259E6" w:rsidRDefault="006C0149">
      <w:pPr>
        <w:pStyle w:val="Textoindependiente"/>
        <w:spacing w:before="165" w:line="276" w:lineRule="auto"/>
        <w:ind w:right="118"/>
      </w:pPr>
      <w:r>
        <w:br w:type="column"/>
      </w:r>
      <w:r>
        <w:lastRenderedPageBreak/>
        <w:t>Los cánceres cervicales representan un problema de salud pública de gran importancia a nivel mundial, el cual necesita de una intervención temprana por medio de tamizajes periódicos, con el fin de prevenir</w:t>
      </w:r>
    </w:p>
    <w:p w:rsidR="000259E6" w:rsidRDefault="000259E6">
      <w:pPr>
        <w:spacing w:line="276" w:lineRule="auto"/>
        <w:sectPr w:rsidR="000259E6">
          <w:type w:val="continuous"/>
          <w:pgSz w:w="12240" w:h="15840"/>
          <w:pgMar w:top="1360" w:right="1320" w:bottom="1080" w:left="1340" w:header="720" w:footer="720" w:gutter="0"/>
          <w:cols w:num="2" w:space="720" w:equalWidth="0">
            <w:col w:w="4462" w:space="579"/>
            <w:col w:w="4539"/>
          </w:cols>
        </w:sectPr>
      </w:pPr>
    </w:p>
    <w:p w:rsidR="000259E6" w:rsidRDefault="006C0149">
      <w:pPr>
        <w:pStyle w:val="Textoindependiente"/>
        <w:spacing w:before="92" w:line="278" w:lineRule="auto"/>
        <w:ind w:right="61"/>
      </w:pPr>
      <w:proofErr w:type="gramStart"/>
      <w:r>
        <w:lastRenderedPageBreak/>
        <w:t>altas</w:t>
      </w:r>
      <w:proofErr w:type="gramEnd"/>
      <w:r>
        <w:t xml:space="preserve"> tasas de mortalidad, principalmente en países en vías de desarrollo.</w:t>
      </w:r>
    </w:p>
    <w:p w:rsidR="000259E6" w:rsidRDefault="006C0149">
      <w:pPr>
        <w:pStyle w:val="Textoindependiente"/>
        <w:spacing w:before="153" w:line="276" w:lineRule="auto"/>
        <w:ind w:right="38"/>
      </w:pPr>
      <w:r>
        <w:t xml:space="preserve">Se ha logrado establecer, a través de amplios estudios, </w:t>
      </w:r>
      <w:r>
        <w:rPr>
          <w:spacing w:val="-3"/>
        </w:rPr>
        <w:t xml:space="preserve">la </w:t>
      </w:r>
      <w:r>
        <w:t xml:space="preserve">relación causal que existe entre el Virus del Papiloma Humano (VPH) y el cáncer cervical. Según </w:t>
      </w:r>
      <w:r>
        <w:rPr>
          <w:spacing w:val="-3"/>
        </w:rPr>
        <w:t xml:space="preserve">la </w:t>
      </w:r>
      <w:r>
        <w:t xml:space="preserve">OMS, estos virus son </w:t>
      </w:r>
      <w:r>
        <w:rPr>
          <w:spacing w:val="-3"/>
        </w:rPr>
        <w:t>la</w:t>
      </w:r>
      <w:r>
        <w:rPr>
          <w:spacing w:val="-3"/>
        </w:rPr>
        <w:t xml:space="preserve"> </w:t>
      </w:r>
      <w:r>
        <w:t xml:space="preserve">causa de </w:t>
      </w:r>
      <w:r>
        <w:rPr>
          <w:spacing w:val="-3"/>
        </w:rPr>
        <w:t xml:space="preserve">la </w:t>
      </w:r>
      <w:r>
        <w:t xml:space="preserve">infección vírica más común del tracto reproductivo, tanto en hombres como en </w:t>
      </w:r>
      <w:proofErr w:type="spellStart"/>
      <w:r>
        <w:t>mujeres.Se</w:t>
      </w:r>
      <w:proofErr w:type="spellEnd"/>
      <w:r>
        <w:t xml:space="preserve"> estima que </w:t>
      </w:r>
      <w:r>
        <w:rPr>
          <w:spacing w:val="-3"/>
        </w:rPr>
        <w:t xml:space="preserve">la </w:t>
      </w:r>
      <w:r>
        <w:t xml:space="preserve">tasa de infección en </w:t>
      </w:r>
      <w:r>
        <w:rPr>
          <w:spacing w:val="-3"/>
        </w:rPr>
        <w:t xml:space="preserve">la </w:t>
      </w:r>
      <w:r>
        <w:t xml:space="preserve">población varía entre el 2% y el 44%, dependiendo de </w:t>
      </w:r>
      <w:r>
        <w:rPr>
          <w:spacing w:val="-3"/>
        </w:rPr>
        <w:t xml:space="preserve">la </w:t>
      </w:r>
      <w:r>
        <w:t xml:space="preserve">región geográfica, pero las tasas más altas se han reportado </w:t>
      </w:r>
      <w:r>
        <w:rPr>
          <w:spacing w:val="3"/>
        </w:rPr>
        <w:t xml:space="preserve">en </w:t>
      </w:r>
      <w:r>
        <w:t>el África subsahariana y en Sudamérica. Además, el cáncer de cérvix es el segundo tipo de cáncer más frecuente en las  mujeres de las regiones menos desarrolladas, y se estima que en 2012 hubo unos 445 000 casos nuevos (84% de los nuevos casos mundiales</w:t>
      </w:r>
      <w:r>
        <w:t xml:space="preserve">). Este virus  tipo ADN pertenece a </w:t>
      </w:r>
      <w:r>
        <w:rPr>
          <w:spacing w:val="-3"/>
        </w:rPr>
        <w:t xml:space="preserve">la </w:t>
      </w:r>
      <w:r>
        <w:t xml:space="preserve">familia </w:t>
      </w:r>
      <w:proofErr w:type="spellStart"/>
      <w:r>
        <w:t>Papillomaviridae</w:t>
      </w:r>
      <w:proofErr w:type="spellEnd"/>
      <w:r>
        <w:t>. Se estableció una clasificación que posee una gran importancia clínica; los de bajo riesgo oncogénico, incluyen los tipos 6, 11, 40,</w:t>
      </w:r>
      <w:r>
        <w:rPr>
          <w:spacing w:val="34"/>
        </w:rPr>
        <w:t xml:space="preserve"> </w:t>
      </w:r>
      <w:r>
        <w:t>42,</w:t>
      </w:r>
    </w:p>
    <w:p w:rsidR="000259E6" w:rsidRDefault="006C0149">
      <w:pPr>
        <w:pStyle w:val="Textoindependiente"/>
        <w:spacing w:before="3"/>
        <w:jc w:val="left"/>
      </w:pPr>
      <w:r>
        <w:t xml:space="preserve">43,  44, 54,  61,  70, 72  y 81,  y los  de </w:t>
      </w:r>
      <w:r>
        <w:rPr>
          <w:spacing w:val="19"/>
        </w:rPr>
        <w:t xml:space="preserve"> </w:t>
      </w:r>
      <w:r>
        <w:t>alto</w:t>
      </w:r>
    </w:p>
    <w:p w:rsidR="000259E6" w:rsidRDefault="006C0149">
      <w:pPr>
        <w:pStyle w:val="Textoindependiente"/>
        <w:spacing w:before="39"/>
        <w:jc w:val="left"/>
      </w:pPr>
      <w:proofErr w:type="gramStart"/>
      <w:r>
        <w:t>ries</w:t>
      </w:r>
      <w:r>
        <w:t>go</w:t>
      </w:r>
      <w:proofErr w:type="gramEnd"/>
      <w:r>
        <w:t xml:space="preserve">  oncogénico  son  16, 18, 31, 33, </w:t>
      </w:r>
      <w:r>
        <w:rPr>
          <w:spacing w:val="25"/>
        </w:rPr>
        <w:t xml:space="preserve"> </w:t>
      </w:r>
      <w:r>
        <w:t>34,</w:t>
      </w:r>
    </w:p>
    <w:p w:rsidR="000259E6" w:rsidRDefault="006C0149">
      <w:pPr>
        <w:pStyle w:val="Textoindependiente"/>
        <w:spacing w:before="39"/>
        <w:jc w:val="left"/>
      </w:pPr>
      <w:r>
        <w:t>35, 39, 45, 51, 52, 56, 58, 59, 66, 68, 70,</w:t>
      </w:r>
      <w:r>
        <w:rPr>
          <w:spacing w:val="17"/>
        </w:rPr>
        <w:t xml:space="preserve"> </w:t>
      </w:r>
      <w:r>
        <w:t>73</w:t>
      </w:r>
    </w:p>
    <w:p w:rsidR="000259E6" w:rsidRDefault="006C0149">
      <w:pPr>
        <w:pStyle w:val="Textoindependiente"/>
        <w:spacing w:before="35" w:line="276" w:lineRule="auto"/>
        <w:ind w:right="43"/>
      </w:pPr>
      <w:proofErr w:type="gramStart"/>
      <w:r>
        <w:t>y</w:t>
      </w:r>
      <w:proofErr w:type="gramEnd"/>
      <w:r>
        <w:t xml:space="preserve"> 82.3 Tanto el serotipo 16 como el 18 son de particular interés, ya que son los causantes del 70% de las lesiones precancerosas y cáncer de cuello del útero. La histo</w:t>
      </w:r>
      <w:r>
        <w:t xml:space="preserve">ria natural de </w:t>
      </w:r>
      <w:r>
        <w:rPr>
          <w:spacing w:val="-3"/>
        </w:rPr>
        <w:t xml:space="preserve">la </w:t>
      </w:r>
      <w:r>
        <w:t xml:space="preserve">enfermedad por el VPH, indica que posterior a </w:t>
      </w:r>
      <w:r>
        <w:rPr>
          <w:spacing w:val="-3"/>
        </w:rPr>
        <w:t xml:space="preserve">la </w:t>
      </w:r>
      <w:r>
        <w:t xml:space="preserve">infección inicial, un gran número de pacientes desarrollan una lesión </w:t>
      </w:r>
      <w:proofErr w:type="spellStart"/>
      <w:r>
        <w:t>intraepiteleal</w:t>
      </w:r>
      <w:proofErr w:type="spellEnd"/>
      <w:r>
        <w:t xml:space="preserve"> escamosa de bajo grado, también conocida como neoplasia </w:t>
      </w:r>
      <w:proofErr w:type="spellStart"/>
      <w:r>
        <w:t>intraepiteleal</w:t>
      </w:r>
      <w:proofErr w:type="spellEnd"/>
      <w:r>
        <w:t xml:space="preserve"> cervical de bajo grado (CIN-1), s</w:t>
      </w:r>
      <w:r>
        <w:t>ignifica el crecimiento y desarrollo desorganizado del recubrimiento epitelial del cuello del</w:t>
      </w:r>
      <w:r>
        <w:rPr>
          <w:spacing w:val="-16"/>
        </w:rPr>
        <w:t xml:space="preserve"> </w:t>
      </w:r>
      <w:r>
        <w:t>útero.</w:t>
      </w:r>
    </w:p>
    <w:p w:rsidR="000259E6" w:rsidRDefault="006C0149">
      <w:pPr>
        <w:spacing w:before="199"/>
        <w:ind w:left="100"/>
        <w:jc w:val="both"/>
        <w:rPr>
          <w:b/>
        </w:rPr>
      </w:pPr>
      <w:r>
        <w:rPr>
          <w:b/>
        </w:rPr>
        <w:t>Existen diversos grados de CIN:</w:t>
      </w:r>
    </w:p>
    <w:p w:rsidR="000259E6" w:rsidRDefault="006C0149">
      <w:pPr>
        <w:pStyle w:val="Prrafodelista"/>
        <w:numPr>
          <w:ilvl w:val="0"/>
          <w:numId w:val="2"/>
        </w:numPr>
        <w:tabs>
          <w:tab w:val="left" w:pos="461"/>
        </w:tabs>
        <w:spacing w:before="90" w:line="276" w:lineRule="auto"/>
        <w:ind w:right="114"/>
        <w:jc w:val="both"/>
      </w:pPr>
      <w:r>
        <w:rPr>
          <w:i/>
          <w:w w:val="99"/>
        </w:rPr>
        <w:br w:type="column"/>
      </w:r>
      <w:r>
        <w:rPr>
          <w:i/>
        </w:rPr>
        <w:lastRenderedPageBreak/>
        <w:t xml:space="preserve">Displasia leve o CIN I: </w:t>
      </w:r>
      <w:r>
        <w:t>se define como crecimiento desorganizado del tercio inferior del recubrimiento</w:t>
      </w:r>
      <w:r>
        <w:rPr>
          <w:spacing w:val="-11"/>
        </w:rPr>
        <w:t xml:space="preserve"> </w:t>
      </w:r>
      <w:r>
        <w:t>epitelial.</w:t>
      </w:r>
    </w:p>
    <w:p w:rsidR="000259E6" w:rsidRDefault="006C0149">
      <w:pPr>
        <w:pStyle w:val="Prrafodelista"/>
        <w:numPr>
          <w:ilvl w:val="0"/>
          <w:numId w:val="2"/>
        </w:numPr>
        <w:tabs>
          <w:tab w:val="left" w:pos="461"/>
        </w:tabs>
        <w:spacing w:line="276" w:lineRule="auto"/>
        <w:ind w:right="117"/>
        <w:jc w:val="both"/>
      </w:pPr>
      <w:r>
        <w:rPr>
          <w:i/>
        </w:rPr>
        <w:t>Displasi</w:t>
      </w:r>
      <w:r>
        <w:rPr>
          <w:i/>
        </w:rPr>
        <w:t xml:space="preserve">a moderada o CIN II: </w:t>
      </w:r>
      <w:r>
        <w:t>se refiere a una maduración anormal de los dos tercios inferiores del recubrimiento epitelial.</w:t>
      </w:r>
    </w:p>
    <w:p w:rsidR="000259E6" w:rsidRDefault="006C0149">
      <w:pPr>
        <w:pStyle w:val="Prrafodelista"/>
        <w:numPr>
          <w:ilvl w:val="0"/>
          <w:numId w:val="2"/>
        </w:numPr>
        <w:tabs>
          <w:tab w:val="left" w:pos="461"/>
        </w:tabs>
        <w:spacing w:line="276" w:lineRule="auto"/>
        <w:ind w:right="114"/>
        <w:jc w:val="both"/>
      </w:pPr>
      <w:r>
        <w:rPr>
          <w:i/>
        </w:rPr>
        <w:t xml:space="preserve">Displasia grave o CIN III: </w:t>
      </w:r>
      <w:r>
        <w:t xml:space="preserve">incluye  más de dos tercios del espesor epitelial con carcinoma </w:t>
      </w:r>
      <w:r>
        <w:rPr>
          <w:spacing w:val="-3"/>
        </w:rPr>
        <w:t xml:space="preserve">in </w:t>
      </w:r>
      <w:r>
        <w:t xml:space="preserve">situ (CIS), </w:t>
      </w:r>
      <w:r>
        <w:rPr>
          <w:spacing w:val="-3"/>
        </w:rPr>
        <w:t xml:space="preserve">lo </w:t>
      </w:r>
      <w:r>
        <w:t xml:space="preserve">cual representa </w:t>
      </w:r>
      <w:r>
        <w:rPr>
          <w:spacing w:val="-3"/>
        </w:rPr>
        <w:t xml:space="preserve">la </w:t>
      </w:r>
      <w:r>
        <w:t>maduración anormal del espesor</w:t>
      </w:r>
      <w:r>
        <w:rPr>
          <w:spacing w:val="-4"/>
        </w:rPr>
        <w:t xml:space="preserve"> </w:t>
      </w:r>
      <w:r>
        <w:t>total.</w:t>
      </w:r>
    </w:p>
    <w:p w:rsidR="000259E6" w:rsidRDefault="006C0149">
      <w:pPr>
        <w:pStyle w:val="Textoindependiente"/>
        <w:spacing w:before="191" w:line="276" w:lineRule="auto"/>
        <w:ind w:right="112"/>
      </w:pPr>
      <w:r>
        <w:t>Se ha demostrado que mientras la mayoría de las infecciones por el VPH son controladas por el sistema inmunológico del paciente y desaparecen en cuestión de meses o años; del 5% al 10% de las mujeres con infecciones pe</w:t>
      </w:r>
      <w:r>
        <w:t>rsistentes, presentaran un riesgo elevado para desarrollar CIN III, y en menor porcentaje cáncer cervical invasor.</w:t>
      </w:r>
    </w:p>
    <w:p w:rsidR="000259E6" w:rsidRDefault="006C0149">
      <w:pPr>
        <w:pStyle w:val="Textoindependiente"/>
        <w:spacing w:before="198" w:line="276" w:lineRule="auto"/>
        <w:ind w:right="117"/>
      </w:pPr>
      <w:r>
        <w:t>Los factores de riesgo epidemiológico para CIN son similares a los de cáncer cervical, e</w:t>
      </w:r>
      <w:r>
        <w:rPr>
          <w:spacing w:val="-1"/>
        </w:rPr>
        <w:t xml:space="preserve"> </w:t>
      </w:r>
      <w:r>
        <w:t>incluyen:</w:t>
      </w:r>
    </w:p>
    <w:p w:rsidR="000259E6" w:rsidRDefault="006C0149">
      <w:pPr>
        <w:pStyle w:val="Prrafodelista"/>
        <w:numPr>
          <w:ilvl w:val="0"/>
          <w:numId w:val="2"/>
        </w:numPr>
        <w:tabs>
          <w:tab w:val="left" w:pos="460"/>
          <w:tab w:val="left" w:pos="461"/>
        </w:tabs>
        <w:spacing w:before="205"/>
      </w:pPr>
      <w:r>
        <w:t>Múltiples parejas</w:t>
      </w:r>
      <w:r>
        <w:rPr>
          <w:spacing w:val="-5"/>
        </w:rPr>
        <w:t xml:space="preserve"> </w:t>
      </w:r>
      <w:r>
        <w:t>sexuales</w:t>
      </w:r>
    </w:p>
    <w:p w:rsidR="000259E6" w:rsidRDefault="006C0149">
      <w:pPr>
        <w:pStyle w:val="Prrafodelista"/>
        <w:numPr>
          <w:ilvl w:val="0"/>
          <w:numId w:val="2"/>
        </w:numPr>
        <w:tabs>
          <w:tab w:val="left" w:pos="460"/>
          <w:tab w:val="left" w:pos="461"/>
        </w:tabs>
        <w:spacing w:before="35"/>
      </w:pPr>
      <w:r>
        <w:t xml:space="preserve">Inicio temprano de </w:t>
      </w:r>
      <w:r>
        <w:rPr>
          <w:spacing w:val="-3"/>
        </w:rPr>
        <w:t xml:space="preserve">la </w:t>
      </w:r>
      <w:r>
        <w:t>actividad sexual</w:t>
      </w:r>
    </w:p>
    <w:p w:rsidR="000259E6" w:rsidRDefault="006C0149">
      <w:pPr>
        <w:pStyle w:val="Prrafodelista"/>
        <w:numPr>
          <w:ilvl w:val="0"/>
          <w:numId w:val="2"/>
        </w:numPr>
        <w:tabs>
          <w:tab w:val="left" w:pos="461"/>
        </w:tabs>
        <w:spacing w:before="38" w:line="268" w:lineRule="auto"/>
        <w:ind w:right="114"/>
        <w:jc w:val="both"/>
      </w:pPr>
      <w:r>
        <w:t>Antecedentes de infecciones de transmisión</w:t>
      </w:r>
      <w:r>
        <w:rPr>
          <w:spacing w:val="-1"/>
        </w:rPr>
        <w:t xml:space="preserve"> </w:t>
      </w:r>
      <w:r>
        <w:t>sexual</w:t>
      </w:r>
    </w:p>
    <w:p w:rsidR="000259E6" w:rsidRDefault="006C0149">
      <w:pPr>
        <w:pStyle w:val="Prrafodelista"/>
        <w:numPr>
          <w:ilvl w:val="0"/>
          <w:numId w:val="2"/>
        </w:numPr>
        <w:tabs>
          <w:tab w:val="left" w:pos="460"/>
          <w:tab w:val="left" w:pos="461"/>
        </w:tabs>
        <w:spacing w:before="11"/>
      </w:pPr>
      <w:r>
        <w:t>Tabaquismo</w:t>
      </w:r>
    </w:p>
    <w:p w:rsidR="000259E6" w:rsidRDefault="006C0149">
      <w:pPr>
        <w:pStyle w:val="Prrafodelista"/>
        <w:numPr>
          <w:ilvl w:val="0"/>
          <w:numId w:val="2"/>
        </w:numPr>
        <w:tabs>
          <w:tab w:val="left" w:pos="460"/>
          <w:tab w:val="left" w:pos="461"/>
        </w:tabs>
        <w:spacing w:before="34"/>
      </w:pPr>
      <w:r>
        <w:t>Otras formas de</w:t>
      </w:r>
      <w:r>
        <w:rPr>
          <w:spacing w:val="-4"/>
        </w:rPr>
        <w:t xml:space="preserve"> </w:t>
      </w:r>
      <w:r>
        <w:t>inmunosupresión</w:t>
      </w:r>
    </w:p>
    <w:p w:rsidR="000259E6" w:rsidRDefault="006C0149">
      <w:pPr>
        <w:pStyle w:val="Prrafodelista"/>
        <w:numPr>
          <w:ilvl w:val="0"/>
          <w:numId w:val="2"/>
        </w:numPr>
        <w:tabs>
          <w:tab w:val="left" w:pos="460"/>
          <w:tab w:val="left" w:pos="461"/>
        </w:tabs>
        <w:spacing w:before="40"/>
      </w:pPr>
      <w:proofErr w:type="spellStart"/>
      <w:r>
        <w:t>Multiparidad</w:t>
      </w:r>
      <w:proofErr w:type="spellEnd"/>
    </w:p>
    <w:p w:rsidR="000259E6" w:rsidRDefault="006C0149">
      <w:pPr>
        <w:pStyle w:val="Prrafodelista"/>
        <w:numPr>
          <w:ilvl w:val="0"/>
          <w:numId w:val="2"/>
        </w:numPr>
        <w:tabs>
          <w:tab w:val="left" w:pos="461"/>
        </w:tabs>
        <w:spacing w:before="34" w:line="268" w:lineRule="auto"/>
        <w:ind w:right="122"/>
        <w:jc w:val="both"/>
      </w:pPr>
      <w:r>
        <w:t>Infección por virus de inmunodeficiencia humana</w:t>
      </w:r>
      <w:r>
        <w:rPr>
          <w:spacing w:val="-1"/>
        </w:rPr>
        <w:t xml:space="preserve"> </w:t>
      </w:r>
      <w:r>
        <w:t>(VIH)</w:t>
      </w:r>
    </w:p>
    <w:p w:rsidR="000259E6" w:rsidRDefault="006C0149">
      <w:pPr>
        <w:pStyle w:val="Prrafodelista"/>
        <w:numPr>
          <w:ilvl w:val="0"/>
          <w:numId w:val="2"/>
        </w:numPr>
        <w:tabs>
          <w:tab w:val="left" w:pos="461"/>
        </w:tabs>
        <w:spacing w:before="11" w:line="273" w:lineRule="auto"/>
        <w:ind w:right="117"/>
        <w:jc w:val="both"/>
      </w:pPr>
      <w:r>
        <w:t>Síndrome de inmunodeficiencia adquirida</w:t>
      </w:r>
      <w:r>
        <w:rPr>
          <w:spacing w:val="-1"/>
        </w:rPr>
        <w:t xml:space="preserve"> </w:t>
      </w:r>
      <w:r>
        <w:t>(SIDA)</w:t>
      </w:r>
    </w:p>
    <w:p w:rsidR="000259E6" w:rsidRDefault="006C0149">
      <w:pPr>
        <w:pStyle w:val="Prrafodelista"/>
        <w:numPr>
          <w:ilvl w:val="0"/>
          <w:numId w:val="2"/>
        </w:numPr>
        <w:tabs>
          <w:tab w:val="left" w:pos="461"/>
        </w:tabs>
        <w:spacing w:line="273" w:lineRule="auto"/>
        <w:ind w:right="118"/>
        <w:jc w:val="both"/>
      </w:pPr>
      <w:r>
        <w:t>Uso a larg</w:t>
      </w:r>
      <w:r>
        <w:t>o plazo de pastillas anticonceptivas</w:t>
      </w:r>
    </w:p>
    <w:p w:rsidR="000259E6" w:rsidRDefault="006C0149">
      <w:pPr>
        <w:pStyle w:val="Prrafodelista"/>
        <w:numPr>
          <w:ilvl w:val="0"/>
          <w:numId w:val="2"/>
        </w:numPr>
        <w:tabs>
          <w:tab w:val="left" w:pos="461"/>
        </w:tabs>
        <w:spacing w:before="5" w:line="273" w:lineRule="auto"/>
        <w:ind w:right="117"/>
        <w:jc w:val="both"/>
      </w:pPr>
      <w:r>
        <w:t>Compañeros sexuales de alto riesgo (con antecedentes de múltiples parejas sexuales, infección por VPH como se menciona anteriormente o</w:t>
      </w:r>
      <w:r>
        <w:rPr>
          <w:spacing w:val="-8"/>
        </w:rPr>
        <w:t xml:space="preserve"> </w:t>
      </w:r>
      <w:r>
        <w:t>exposición</w:t>
      </w:r>
    </w:p>
    <w:p w:rsidR="000259E6" w:rsidRDefault="000259E6">
      <w:pPr>
        <w:spacing w:line="273" w:lineRule="auto"/>
        <w:jc w:val="both"/>
        <w:sectPr w:rsidR="000259E6">
          <w:headerReference w:type="even" r:id="rId12"/>
          <w:headerReference w:type="default" r:id="rId13"/>
          <w:pgSz w:w="12240" w:h="15840"/>
          <w:pgMar w:top="1340" w:right="1320" w:bottom="1060" w:left="1340" w:header="723" w:footer="874" w:gutter="0"/>
          <w:cols w:num="2" w:space="720" w:equalWidth="0">
            <w:col w:w="4468" w:space="574"/>
            <w:col w:w="4538"/>
          </w:cols>
        </w:sectPr>
      </w:pPr>
    </w:p>
    <w:p w:rsidR="000259E6" w:rsidRDefault="006C0149">
      <w:pPr>
        <w:pStyle w:val="Textoindependiente"/>
        <w:spacing w:before="92" w:line="259" w:lineRule="auto"/>
        <w:ind w:right="1018"/>
        <w:jc w:val="left"/>
      </w:pPr>
      <w:proofErr w:type="gramStart"/>
      <w:r>
        <w:lastRenderedPageBreak/>
        <w:t>sexual</w:t>
      </w:r>
      <w:proofErr w:type="gramEnd"/>
      <w:r>
        <w:t xml:space="preserve"> anterior a una persona con neoplasia cervical)</w:t>
      </w:r>
    </w:p>
    <w:p w:rsidR="000259E6" w:rsidRDefault="006C0149">
      <w:pPr>
        <w:pStyle w:val="Ttulo1"/>
        <w:tabs>
          <w:tab w:val="left" w:pos="2606"/>
        </w:tabs>
        <w:spacing w:before="159" w:line="276" w:lineRule="auto"/>
        <w:ind w:right="45" w:firstLine="68"/>
      </w:pPr>
      <w:r>
        <w:t>¿DISPOSITIVO</w:t>
      </w:r>
      <w:r>
        <w:tab/>
      </w:r>
      <w:r>
        <w:rPr>
          <w:spacing w:val="-1"/>
        </w:rPr>
        <w:t xml:space="preserve">INTRAUTERINO </w:t>
      </w:r>
      <w:r>
        <w:t>COMO FACTOR DE RIESGO O FACTOR</w:t>
      </w:r>
      <w:r>
        <w:rPr>
          <w:spacing w:val="-2"/>
        </w:rPr>
        <w:t xml:space="preserve"> </w:t>
      </w:r>
      <w:r>
        <w:t>PROTECTOR?</w:t>
      </w:r>
    </w:p>
    <w:p w:rsidR="000259E6" w:rsidRDefault="006C0149">
      <w:pPr>
        <w:pStyle w:val="Textoindependiente"/>
        <w:spacing w:before="203" w:line="276" w:lineRule="auto"/>
        <w:ind w:right="40"/>
      </w:pPr>
      <w:r>
        <w:t xml:space="preserve">Desde </w:t>
      </w:r>
      <w:r>
        <w:rPr>
          <w:spacing w:val="-3"/>
        </w:rPr>
        <w:t xml:space="preserve">la </w:t>
      </w:r>
      <w:r>
        <w:t>introducción del Dispositivo Intrauterino (DIU) en el inicio de los 1930, se ha considerado a estos son un factor de riesgo más para el desarrollo de cáncer cervical.</w:t>
      </w:r>
    </w:p>
    <w:p w:rsidR="000259E6" w:rsidRDefault="006C0149">
      <w:pPr>
        <w:pStyle w:val="Textoindependiente"/>
        <w:spacing w:before="198" w:line="276" w:lineRule="auto"/>
        <w:ind w:right="42"/>
      </w:pPr>
      <w:r>
        <w:t>En un estudio realizado en el año 1981</w:t>
      </w:r>
      <w:r>
        <w:t xml:space="preserve"> en India, se concluyó que, si existía una relación directa entre la duración del uso de DIU y la incidencia de neoplasia cervical, a pesar de que el dispositivo fuese cambiado.</w:t>
      </w:r>
    </w:p>
    <w:p w:rsidR="000259E6" w:rsidRDefault="006C0149">
      <w:pPr>
        <w:pStyle w:val="Textoindependiente"/>
        <w:spacing w:before="202" w:line="276" w:lineRule="auto"/>
        <w:ind w:right="40"/>
      </w:pPr>
      <w:r>
        <w:t xml:space="preserve">Posteriormente </w:t>
      </w:r>
      <w:proofErr w:type="spellStart"/>
      <w:r>
        <w:t>Misra</w:t>
      </w:r>
      <w:proofErr w:type="spellEnd"/>
      <w:r>
        <w:t xml:space="preserve"> y col., en un estudio de 3,374 mujeres indias, donde se u</w:t>
      </w:r>
      <w:r>
        <w:t>tilizaron diferentes métodos anticonceptivos, lograron demostrar que existía una alta incidencia de neoplasia cervical en las pacientes que utilizaron el DIU de cobre como método anticonceptivo.</w:t>
      </w:r>
    </w:p>
    <w:p w:rsidR="000259E6" w:rsidRDefault="006C0149">
      <w:pPr>
        <w:pStyle w:val="Textoindependiente"/>
        <w:tabs>
          <w:tab w:val="left" w:pos="1982"/>
          <w:tab w:val="left" w:pos="3441"/>
        </w:tabs>
        <w:spacing w:before="200" w:line="276" w:lineRule="auto"/>
        <w:ind w:right="38"/>
      </w:pPr>
      <w:r>
        <w:t xml:space="preserve">Sin embargo, un estudio </w:t>
      </w:r>
      <w:proofErr w:type="spellStart"/>
      <w:r>
        <w:t>multicéntrico</w:t>
      </w:r>
      <w:proofErr w:type="spellEnd"/>
      <w:r>
        <w:t xml:space="preserve"> realizado en los Estados Unidos, obtuvo resultados discordantes con respecto a los estudios previos, determinando que el dispositivo de cobre generaba un efecto protector contra el cáncer cervical invasivo, pero no así</w:t>
      </w:r>
      <w:r>
        <w:t xml:space="preserve"> los dispositivos inertes Una publicación realizada más de 10 años después, en el año de 2004, </w:t>
      </w:r>
      <w:proofErr w:type="spellStart"/>
      <w:r>
        <w:t>Agarwal</w:t>
      </w:r>
      <w:proofErr w:type="spellEnd"/>
      <w:r>
        <w:t xml:space="preserve"> y colaboradores, volvieron a obtener datos donde avalaban los resultados obtenidos por </w:t>
      </w:r>
      <w:proofErr w:type="spellStart"/>
      <w:r>
        <w:t>Misra</w:t>
      </w:r>
      <w:proofErr w:type="spellEnd"/>
      <w:r>
        <w:t xml:space="preserve"> previamente. Demostraron que, las pacientes que utilizaron D</w:t>
      </w:r>
      <w:r>
        <w:t>IU presentaban</w:t>
      </w:r>
      <w:r>
        <w:tab/>
        <w:t>lesiones</w:t>
      </w:r>
      <w:r>
        <w:tab/>
        <w:t xml:space="preserve">cervicales </w:t>
      </w:r>
      <w:proofErr w:type="spellStart"/>
      <w:r>
        <w:t>intraepiteliales</w:t>
      </w:r>
      <w:proofErr w:type="spellEnd"/>
      <w:r>
        <w:t xml:space="preserve">, situación que no se repetía en el grupo control. Sin embargo, no se hizo una comparación con </w:t>
      </w:r>
      <w:r>
        <w:rPr>
          <w:spacing w:val="-3"/>
        </w:rPr>
        <w:t xml:space="preserve">la </w:t>
      </w:r>
      <w:r>
        <w:t>población general que nunca había usado el</w:t>
      </w:r>
      <w:r>
        <w:rPr>
          <w:spacing w:val="-8"/>
        </w:rPr>
        <w:t xml:space="preserve"> </w:t>
      </w:r>
      <w:r>
        <w:t>dispositivo.</w:t>
      </w:r>
    </w:p>
    <w:p w:rsidR="000259E6" w:rsidRDefault="006C0149">
      <w:pPr>
        <w:pStyle w:val="Textoindependiente"/>
        <w:tabs>
          <w:tab w:val="left" w:pos="1854"/>
          <w:tab w:val="left" w:pos="2514"/>
          <w:tab w:val="left" w:pos="3407"/>
          <w:tab w:val="left" w:pos="3597"/>
        </w:tabs>
        <w:spacing w:before="92" w:line="276" w:lineRule="auto"/>
        <w:ind w:right="109"/>
      </w:pPr>
      <w:r>
        <w:br w:type="column"/>
      </w:r>
      <w:r>
        <w:lastRenderedPageBreak/>
        <w:t>En el 2006 se publicó un estudio de seguimiento du</w:t>
      </w:r>
      <w:r>
        <w:t>rante 10 años, realizado en Hungría, donde se encontró que los DIU de cobre no tenían asociación con el incremento en el riesgo de desarrollo de cáncer de cérvix, a diferencia de los dispositivos inertes, los cuales si mostraron asociación. Después de 60 a</w:t>
      </w:r>
      <w:r>
        <w:t>ños de afirmar que los dispositivos intrauterinos, eran un claro factor de riesgo para el desarrollo de neoplasias</w:t>
      </w:r>
      <w:r>
        <w:tab/>
        <w:t>cervicales,</w:t>
      </w:r>
      <w:r>
        <w:tab/>
      </w:r>
      <w:r>
        <w:tab/>
        <w:t xml:space="preserve">estudios epidemiológicos empiezan, de forma consistente a demostrar </w:t>
      </w:r>
      <w:r>
        <w:rPr>
          <w:spacing w:val="-3"/>
        </w:rPr>
        <w:t xml:space="preserve">lo </w:t>
      </w:r>
      <w:r>
        <w:t xml:space="preserve">contrario. En el 2011, Xavier </w:t>
      </w:r>
      <w:proofErr w:type="spellStart"/>
      <w:r>
        <w:t>Castellsague</w:t>
      </w:r>
      <w:proofErr w:type="spellEnd"/>
      <w:r>
        <w:t xml:space="preserve"> y </w:t>
      </w:r>
      <w:proofErr w:type="spellStart"/>
      <w:r>
        <w:t>co</w:t>
      </w:r>
      <w:proofErr w:type="spellEnd"/>
      <w:r>
        <w:t>-autores e</w:t>
      </w:r>
      <w:r>
        <w:t>ncontraron una fuerte relación inversa entre el uso de DIU y el cáncer cervical (</w:t>
      </w:r>
      <w:proofErr w:type="spellStart"/>
      <w:r>
        <w:t>odds</w:t>
      </w:r>
      <w:proofErr w:type="spellEnd"/>
      <w:r>
        <w:t xml:space="preserve"> ratio </w:t>
      </w:r>
      <w:r>
        <w:rPr>
          <w:spacing w:val="2"/>
        </w:rPr>
        <w:t xml:space="preserve">0·55, </w:t>
      </w:r>
      <w:r>
        <w:t xml:space="preserve">95% CI </w:t>
      </w:r>
      <w:r>
        <w:rPr>
          <w:spacing w:val="2"/>
        </w:rPr>
        <w:t xml:space="preserve">0·42–0·70; </w:t>
      </w:r>
      <w:r>
        <w:t xml:space="preserve">p&lt;0·0001). Además, notaron  una asociación protectora para carcinoma escamoso (0·56, </w:t>
      </w:r>
      <w:r>
        <w:rPr>
          <w:spacing w:val="2"/>
        </w:rPr>
        <w:t xml:space="preserve">0·43–0·72; </w:t>
      </w:r>
      <w:r>
        <w:t>p&lt;0·0001), adenocarcinoma</w:t>
      </w:r>
      <w:r>
        <w:tab/>
      </w:r>
      <w:r>
        <w:tab/>
        <w:t>y</w:t>
      </w:r>
      <w:r>
        <w:tab/>
        <w:t xml:space="preserve">carcinoma </w:t>
      </w:r>
      <w:proofErr w:type="spellStart"/>
      <w:r>
        <w:t>adeno</w:t>
      </w:r>
      <w:r>
        <w:t>escamoso</w:t>
      </w:r>
      <w:proofErr w:type="spellEnd"/>
      <w:r>
        <w:t xml:space="preserve"> (0·46, </w:t>
      </w:r>
      <w:r>
        <w:rPr>
          <w:spacing w:val="2"/>
        </w:rPr>
        <w:t xml:space="preserve">0·22–0·97; </w:t>
      </w:r>
      <w:r>
        <w:t xml:space="preserve">p=0·035). Sin embargo, no se notó un  factor protector contra </w:t>
      </w:r>
      <w:r>
        <w:rPr>
          <w:spacing w:val="-3"/>
        </w:rPr>
        <w:t xml:space="preserve">la </w:t>
      </w:r>
      <w:r>
        <w:t xml:space="preserve">infección por el VPH, contrario a </w:t>
      </w:r>
      <w:r>
        <w:rPr>
          <w:spacing w:val="-3"/>
        </w:rPr>
        <w:t xml:space="preserve">lo </w:t>
      </w:r>
      <w:r>
        <w:t>concluido con respecto al desarrollo de cáncer</w:t>
      </w:r>
      <w:r>
        <w:rPr>
          <w:spacing w:val="-10"/>
        </w:rPr>
        <w:t xml:space="preserve"> </w:t>
      </w:r>
      <w:r>
        <w:t>cervical.</w:t>
      </w:r>
    </w:p>
    <w:p w:rsidR="000259E6" w:rsidRDefault="006C0149">
      <w:pPr>
        <w:pStyle w:val="Textoindependiente"/>
        <w:spacing w:before="202" w:line="276" w:lineRule="auto"/>
        <w:ind w:right="113"/>
      </w:pPr>
      <w:r>
        <w:t xml:space="preserve">Es importante también mencionar un estudio desarrollado por </w:t>
      </w:r>
      <w:proofErr w:type="spellStart"/>
      <w:r>
        <w:t>Averbach</w:t>
      </w:r>
      <w:proofErr w:type="spellEnd"/>
      <w:r>
        <w:t xml:space="preserve"> y</w:t>
      </w:r>
      <w:r>
        <w:t xml:space="preserve"> colaboradores, donde se concluyó que, no solo el DIU parece jugar un papel importante en </w:t>
      </w:r>
      <w:r>
        <w:rPr>
          <w:spacing w:val="-3"/>
        </w:rPr>
        <w:t xml:space="preserve">la </w:t>
      </w:r>
      <w:r>
        <w:t>historia natural del cáncer de cérvix, inhibiendo el desarrollo de las lesiones precancerosas en mujeres infectadas por el VPH, sino que también, el dispositivo no</w:t>
      </w:r>
      <w:r>
        <w:t xml:space="preserve"> está asociado a </w:t>
      </w:r>
      <w:r>
        <w:rPr>
          <w:spacing w:val="-3"/>
        </w:rPr>
        <w:t xml:space="preserve">la  </w:t>
      </w:r>
      <w:r>
        <w:t>adquisición de infección persistente por VPH. Considerándolo seguro de utilizar por mujeres en riesgo de infección como en portadoras.</w:t>
      </w:r>
    </w:p>
    <w:p w:rsidR="000259E6" w:rsidRDefault="006C0149">
      <w:pPr>
        <w:pStyle w:val="Textoindependiente"/>
        <w:spacing w:before="203" w:line="276" w:lineRule="auto"/>
        <w:ind w:right="117"/>
      </w:pPr>
      <w:r>
        <w:t>Por medio de estos estudios también se logró determinar, que no existe relación directa entre los añ</w:t>
      </w:r>
      <w:r>
        <w:t>os de usó del dispositivo y el efecto protector; tanto la paciente que</w:t>
      </w:r>
    </w:p>
    <w:p w:rsidR="000259E6" w:rsidRDefault="000259E6">
      <w:pPr>
        <w:spacing w:line="276" w:lineRule="auto"/>
        <w:sectPr w:rsidR="000259E6">
          <w:pgSz w:w="12240" w:h="15840"/>
          <w:pgMar w:top="1340" w:right="1320" w:bottom="1080" w:left="1340" w:header="723" w:footer="882" w:gutter="0"/>
          <w:cols w:num="2" w:space="720" w:equalWidth="0">
            <w:col w:w="4465" w:space="577"/>
            <w:col w:w="4538"/>
          </w:cols>
        </w:sectPr>
      </w:pPr>
    </w:p>
    <w:p w:rsidR="000259E6" w:rsidRDefault="006C0149">
      <w:pPr>
        <w:pStyle w:val="Textoindependiente"/>
        <w:spacing w:before="92" w:line="278" w:lineRule="auto"/>
        <w:ind w:right="50"/>
      </w:pPr>
      <w:proofErr w:type="gramStart"/>
      <w:r>
        <w:lastRenderedPageBreak/>
        <w:t>lo</w:t>
      </w:r>
      <w:proofErr w:type="gramEnd"/>
      <w:r>
        <w:t xml:space="preserve"> utilizó por corto tiempo, como la que lo tuvo por 9 años, se vieron beneficiadas.</w:t>
      </w:r>
    </w:p>
    <w:p w:rsidR="000259E6" w:rsidRDefault="006C0149">
      <w:pPr>
        <w:pStyle w:val="Ttulo1"/>
        <w:spacing w:line="276" w:lineRule="auto"/>
        <w:ind w:right="44"/>
      </w:pPr>
      <w:r>
        <w:t>TEORIAS SOBRE EL  MECANISMO DE ACCION DEL DIU QUE LE CONFIEREN EFECTO</w:t>
      </w:r>
      <w:r>
        <w:rPr>
          <w:spacing w:val="-4"/>
        </w:rPr>
        <w:t xml:space="preserve"> </w:t>
      </w:r>
      <w:r>
        <w:t>PROTECTOR</w:t>
      </w:r>
    </w:p>
    <w:p w:rsidR="000259E6" w:rsidRDefault="006C0149">
      <w:pPr>
        <w:pStyle w:val="Textoindependiente"/>
        <w:spacing w:before="203" w:line="276" w:lineRule="auto"/>
        <w:ind w:right="38"/>
      </w:pPr>
      <w:r>
        <w:t xml:space="preserve">Aunque las teorías actuales sobre el mecanismo de acción del DIU incluyen: </w:t>
      </w:r>
      <w:r>
        <w:rPr>
          <w:spacing w:val="-3"/>
        </w:rPr>
        <w:t xml:space="preserve">la </w:t>
      </w:r>
      <w:r>
        <w:t xml:space="preserve">creación de un ambiente hostil  con actividad espermicida, </w:t>
      </w:r>
      <w:r>
        <w:rPr>
          <w:spacing w:val="-3"/>
        </w:rPr>
        <w:t xml:space="preserve">la </w:t>
      </w:r>
      <w:r>
        <w:t>interferencia con  el desarrollo de los óvulos o con su fertilización, y actividad en el endometrio que qu</w:t>
      </w:r>
      <w:r>
        <w:t xml:space="preserve">izá promueva </w:t>
      </w:r>
      <w:r>
        <w:rPr>
          <w:spacing w:val="-3"/>
        </w:rPr>
        <w:t xml:space="preserve">la </w:t>
      </w:r>
      <w:r>
        <w:t xml:space="preserve">fagocitosis de los espermatozoides e impidan su migración, sin embargo, estas no explican el mecanismo de acción que interfiere en </w:t>
      </w:r>
      <w:r>
        <w:rPr>
          <w:spacing w:val="-3"/>
        </w:rPr>
        <w:t xml:space="preserve">la </w:t>
      </w:r>
      <w:r>
        <w:t>carcinogénesis cervical producida por el VPH.</w:t>
      </w:r>
    </w:p>
    <w:p w:rsidR="000259E6" w:rsidRDefault="006C0149">
      <w:pPr>
        <w:pStyle w:val="Textoindependiente"/>
        <w:spacing w:before="202" w:line="276" w:lineRule="auto"/>
        <w:ind w:right="39"/>
      </w:pPr>
      <w:r>
        <w:t>Los mecanismos de acción del DIU que generan protección cont</w:t>
      </w:r>
      <w:r>
        <w:t xml:space="preserve">ra </w:t>
      </w:r>
      <w:r>
        <w:rPr>
          <w:spacing w:val="-3"/>
        </w:rPr>
        <w:t xml:space="preserve">la </w:t>
      </w:r>
      <w:r>
        <w:t xml:space="preserve">neoplasia cervical, además, son un punto de controversia. </w:t>
      </w:r>
      <w:proofErr w:type="spellStart"/>
      <w:r>
        <w:t>Castellsague</w:t>
      </w:r>
      <w:proofErr w:type="spellEnd"/>
      <w:r>
        <w:t xml:space="preserve"> y coautores proponen que, al introducir </w:t>
      </w:r>
      <w:r>
        <w:rPr>
          <w:spacing w:val="2"/>
        </w:rPr>
        <w:t xml:space="preserve">el </w:t>
      </w:r>
      <w:r>
        <w:t xml:space="preserve">dispositivo intrauterino, este crea una abrasión en el tejido cervical donde se encuentra </w:t>
      </w:r>
      <w:r>
        <w:rPr>
          <w:spacing w:val="-3"/>
        </w:rPr>
        <w:t xml:space="preserve">la </w:t>
      </w:r>
      <w:r>
        <w:t>lesión precancerosa, logrando de esta maner</w:t>
      </w:r>
      <w:r>
        <w:t xml:space="preserve">a, el efecto aclarador. Sin embargo, </w:t>
      </w:r>
      <w:proofErr w:type="spellStart"/>
      <w:r>
        <w:t>Petry</w:t>
      </w:r>
      <w:proofErr w:type="spellEnd"/>
      <w:r>
        <w:t xml:space="preserve"> propone que el trauma generado al introducir </w:t>
      </w:r>
      <w:r>
        <w:rPr>
          <w:spacing w:val="2"/>
        </w:rPr>
        <w:t xml:space="preserve">el </w:t>
      </w:r>
      <w:r>
        <w:t xml:space="preserve">DIU a cavidad uterina, desencadena una respuesta inmunológica crónica, celular, de bajo grado y estéril en el endometrio, canal </w:t>
      </w:r>
      <w:proofErr w:type="spellStart"/>
      <w:r>
        <w:t>endocervical</w:t>
      </w:r>
      <w:proofErr w:type="spellEnd"/>
      <w:r>
        <w:t xml:space="preserve"> y cérvix; </w:t>
      </w:r>
      <w:r>
        <w:rPr>
          <w:spacing w:val="-3"/>
        </w:rPr>
        <w:t xml:space="preserve">la </w:t>
      </w:r>
      <w:r>
        <w:t>cual es cap</w:t>
      </w:r>
      <w:r>
        <w:t xml:space="preserve">az de modificar por medio de cambios en el estatus inmunológico de </w:t>
      </w:r>
      <w:r>
        <w:rPr>
          <w:spacing w:val="-3"/>
        </w:rPr>
        <w:t xml:space="preserve">la </w:t>
      </w:r>
      <w:r>
        <w:t xml:space="preserve">mucosa, el curso de </w:t>
      </w:r>
      <w:r>
        <w:rPr>
          <w:spacing w:val="-3"/>
        </w:rPr>
        <w:t xml:space="preserve">la </w:t>
      </w:r>
      <w:r>
        <w:t xml:space="preserve">infección por el VPH. Así, finalmente aclarando las infecciones persistentes por VPH y por consiguiente las lesiones </w:t>
      </w:r>
      <w:proofErr w:type="spellStart"/>
      <w:r>
        <w:t>intraepiteliales</w:t>
      </w:r>
      <w:proofErr w:type="spellEnd"/>
      <w:r>
        <w:t xml:space="preserve"> cervicales. Además, afirman q</w:t>
      </w:r>
      <w:r>
        <w:t xml:space="preserve">ue tanto el </w:t>
      </w:r>
      <w:proofErr w:type="spellStart"/>
      <w:r>
        <w:t>microtrauma</w:t>
      </w:r>
      <w:proofErr w:type="spellEnd"/>
      <w:r>
        <w:t xml:space="preserve"> durante </w:t>
      </w:r>
      <w:r>
        <w:rPr>
          <w:spacing w:val="-3"/>
        </w:rPr>
        <w:t xml:space="preserve">la </w:t>
      </w:r>
      <w:r>
        <w:t xml:space="preserve">inserción o remoción del dispositivo, como </w:t>
      </w:r>
      <w:r>
        <w:rPr>
          <w:spacing w:val="-3"/>
        </w:rPr>
        <w:t>la</w:t>
      </w:r>
      <w:r>
        <w:rPr>
          <w:spacing w:val="55"/>
        </w:rPr>
        <w:t xml:space="preserve"> </w:t>
      </w:r>
      <w:r>
        <w:t xml:space="preserve">reacción local </w:t>
      </w:r>
      <w:proofErr w:type="spellStart"/>
      <w:r>
        <w:t>intraútero</w:t>
      </w:r>
      <w:proofErr w:type="spellEnd"/>
      <w:r>
        <w:t xml:space="preserve"> son responsables de generar el “</w:t>
      </w:r>
      <w:proofErr w:type="spellStart"/>
      <w:r>
        <w:t>boost</w:t>
      </w:r>
      <w:proofErr w:type="spellEnd"/>
      <w:r>
        <w:t xml:space="preserve">” </w:t>
      </w:r>
      <w:proofErr w:type="spellStart"/>
      <w:r>
        <w:t>inmunologico</w:t>
      </w:r>
      <w:proofErr w:type="spellEnd"/>
      <w:r>
        <w:t xml:space="preserve">, similar a </w:t>
      </w:r>
      <w:r>
        <w:rPr>
          <w:spacing w:val="-3"/>
        </w:rPr>
        <w:t>la</w:t>
      </w:r>
      <w:r>
        <w:rPr>
          <w:spacing w:val="11"/>
        </w:rPr>
        <w:t xml:space="preserve"> </w:t>
      </w:r>
      <w:r>
        <w:t>mostrada</w:t>
      </w:r>
    </w:p>
    <w:p w:rsidR="000259E6" w:rsidRDefault="006C0149">
      <w:pPr>
        <w:pStyle w:val="Textoindependiente"/>
        <w:spacing w:before="92" w:line="278" w:lineRule="auto"/>
        <w:ind w:right="119"/>
      </w:pPr>
      <w:r>
        <w:br w:type="column"/>
      </w:r>
      <w:proofErr w:type="gramStart"/>
      <w:r>
        <w:lastRenderedPageBreak/>
        <w:t>posteriormente</w:t>
      </w:r>
      <w:proofErr w:type="gramEnd"/>
      <w:r>
        <w:t xml:space="preserve"> en las pacientes que se les practico biopsia guiada por co</w:t>
      </w:r>
      <w:r>
        <w:t>lposcopia.</w:t>
      </w:r>
    </w:p>
    <w:p w:rsidR="000259E6" w:rsidRDefault="006C0149">
      <w:pPr>
        <w:pStyle w:val="Textoindependiente"/>
        <w:spacing w:before="193" w:line="276" w:lineRule="auto"/>
        <w:ind w:right="114"/>
      </w:pPr>
      <w:proofErr w:type="spellStart"/>
      <w:r>
        <w:t>Castellsague</w:t>
      </w:r>
      <w:proofErr w:type="spellEnd"/>
      <w:r>
        <w:t xml:space="preserve"> propone una teoría alterna, menciona que </w:t>
      </w:r>
      <w:r>
        <w:rPr>
          <w:spacing w:val="-3"/>
        </w:rPr>
        <w:t xml:space="preserve">la </w:t>
      </w:r>
      <w:r>
        <w:t>reducción del cáncer de cérvix asociado al uso del DIU, no necesariamente es por el efecto biológico creado por el dispositivo, sino, que podría estar relacionado al hecho de que estas pac</w:t>
      </w:r>
      <w:r>
        <w:t>ientes son sometidas a mas chequeos cervicales ginecológicos en comparación con las pacientes que utilizan otros métodos anticonceptivos, por tanto, se descubren lesiones incipientes y se tratan antes que progresen a cáncer. Sin embargo, no encontraron dat</w:t>
      </w:r>
      <w:r>
        <w:t>a suficiente que respaldara esta</w:t>
      </w:r>
      <w:r>
        <w:rPr>
          <w:spacing w:val="-2"/>
        </w:rPr>
        <w:t xml:space="preserve"> </w:t>
      </w:r>
      <w:r>
        <w:t>hipótesis.</w:t>
      </w:r>
    </w:p>
    <w:p w:rsidR="000259E6" w:rsidRDefault="006C0149">
      <w:pPr>
        <w:pStyle w:val="Textoindependiente"/>
        <w:spacing w:before="205" w:line="276" w:lineRule="auto"/>
        <w:ind w:right="115"/>
      </w:pPr>
      <w:r>
        <w:t xml:space="preserve">El mecanismo exacto asociado al aclaramiento del VPH tampoco está bien conocido. Se han hecho estudios In vitro donde se ha observado la respuesta de </w:t>
      </w:r>
      <w:proofErr w:type="spellStart"/>
      <w:r>
        <w:t>keratinocitos</w:t>
      </w:r>
      <w:proofErr w:type="spellEnd"/>
      <w:r>
        <w:t xml:space="preserve"> infectados que producen tanto células “Natural </w:t>
      </w:r>
      <w:proofErr w:type="spellStart"/>
      <w:r>
        <w:t>K</w:t>
      </w:r>
      <w:r>
        <w:t>illers</w:t>
      </w:r>
      <w:proofErr w:type="spellEnd"/>
      <w:r>
        <w:t xml:space="preserve">” como citoquinas </w:t>
      </w:r>
      <w:proofErr w:type="spellStart"/>
      <w:r>
        <w:t>proinflamatorias</w:t>
      </w:r>
      <w:proofErr w:type="spellEnd"/>
      <w:r>
        <w:t xml:space="preserve"> que generan un reclutamiento y coordinación celular que produce el aclaramiento del patógeno. Se presume que esta respuesta inmunológica ocurre de días a semanas posterior a la infección, revirtiéndose subsecuenteme</w:t>
      </w:r>
      <w:r>
        <w:t>nte al darse la eliminación del virus de forma exitosa, evitando así las secuelas toxicas que dañarían el tejido sano. Sin embargo, la determinación de los mecanismos inmunológicos in vivo es difícil y compleja, y esta pobremente definida.</w:t>
      </w:r>
    </w:p>
    <w:p w:rsidR="000259E6" w:rsidRDefault="006C0149">
      <w:pPr>
        <w:pStyle w:val="Ttulo1"/>
        <w:spacing w:before="198"/>
        <w:jc w:val="left"/>
      </w:pPr>
      <w:r>
        <w:t>CONCLUSIONES</w:t>
      </w:r>
    </w:p>
    <w:p w:rsidR="000259E6" w:rsidRDefault="000259E6">
      <w:pPr>
        <w:pStyle w:val="Textoindependiente"/>
        <w:spacing w:before="1"/>
        <w:ind w:left="0"/>
        <w:jc w:val="left"/>
        <w:rPr>
          <w:b/>
          <w:sz w:val="21"/>
        </w:rPr>
      </w:pPr>
    </w:p>
    <w:p w:rsidR="000259E6" w:rsidRDefault="006C0149">
      <w:pPr>
        <w:pStyle w:val="Textoindependiente"/>
        <w:spacing w:line="276" w:lineRule="auto"/>
        <w:ind w:right="114"/>
      </w:pPr>
      <w:r>
        <w:t>Las asociaciones encontradas en los estudios más recientes, sugieren que los DUI no modifican la prevalencia de la infección por VPH, pero si su progresión a cáncer cervical.</w:t>
      </w:r>
    </w:p>
    <w:p w:rsidR="000259E6" w:rsidRDefault="000259E6">
      <w:pPr>
        <w:spacing w:line="276" w:lineRule="auto"/>
        <w:sectPr w:rsidR="000259E6">
          <w:pgSz w:w="12240" w:h="15840"/>
          <w:pgMar w:top="1340" w:right="1320" w:bottom="1060" w:left="1340" w:header="723" w:footer="874" w:gutter="0"/>
          <w:cols w:num="2" w:space="720" w:equalWidth="0">
            <w:col w:w="4468" w:space="574"/>
            <w:col w:w="4538"/>
          </w:cols>
        </w:sectPr>
      </w:pPr>
    </w:p>
    <w:p w:rsidR="000259E6" w:rsidRDefault="006C0149">
      <w:pPr>
        <w:pStyle w:val="Textoindependiente"/>
        <w:spacing w:before="92" w:line="276" w:lineRule="auto"/>
        <w:ind w:right="38"/>
      </w:pPr>
      <w:r>
        <w:lastRenderedPageBreak/>
        <w:t xml:space="preserve">Las conclusiones que arrojan estos estudios, refuerzan </w:t>
      </w:r>
      <w:r>
        <w:rPr>
          <w:spacing w:val="-3"/>
        </w:rPr>
        <w:t>l</w:t>
      </w:r>
      <w:r>
        <w:rPr>
          <w:spacing w:val="-3"/>
        </w:rPr>
        <w:t xml:space="preserve">a </w:t>
      </w:r>
      <w:r>
        <w:t xml:space="preserve">seguridad y los beneficios que estos dispositivos aportan a </w:t>
      </w:r>
      <w:r>
        <w:rPr>
          <w:spacing w:val="-3"/>
        </w:rPr>
        <w:t xml:space="preserve">la </w:t>
      </w:r>
      <w:r>
        <w:t>población femenina, no solo como método anticonceptivo sino como factor protector tanto contra en cáncer de endometrio como el cáncer cervical Tanto el mecanismo de acción de los DIU sobre el</w:t>
      </w:r>
      <w:r>
        <w:t xml:space="preserve"> aclaramiento del VPH de </w:t>
      </w:r>
      <w:r>
        <w:rPr>
          <w:spacing w:val="-3"/>
        </w:rPr>
        <w:t xml:space="preserve">la </w:t>
      </w:r>
      <w:r>
        <w:t>mucosa cervical, como el mecanismo de aclaramiento natural del sistema</w:t>
      </w:r>
      <w:r>
        <w:rPr>
          <w:spacing w:val="42"/>
        </w:rPr>
        <w:t xml:space="preserve"> </w:t>
      </w:r>
      <w:r>
        <w:t>inmune</w:t>
      </w:r>
    </w:p>
    <w:p w:rsidR="000259E6" w:rsidRDefault="006C0149">
      <w:pPr>
        <w:pStyle w:val="Textoindependiente"/>
        <w:spacing w:before="92" w:line="276" w:lineRule="auto"/>
        <w:ind w:right="113"/>
      </w:pPr>
      <w:r>
        <w:br w:type="column"/>
      </w:r>
      <w:proofErr w:type="gramStart"/>
      <w:r>
        <w:lastRenderedPageBreak/>
        <w:t>están</w:t>
      </w:r>
      <w:proofErr w:type="gramEnd"/>
      <w:r>
        <w:t xml:space="preserve"> poco establecidos. Sin embargo, estos estudios parecen indicar que el DIU se comporta como un potenciador de </w:t>
      </w:r>
      <w:r>
        <w:rPr>
          <w:spacing w:val="-3"/>
        </w:rPr>
        <w:t xml:space="preserve">la </w:t>
      </w:r>
      <w:r>
        <w:t>respuesta innata del sistema in</w:t>
      </w:r>
      <w:r>
        <w:t xml:space="preserve">mune. Es necesario realizar más estudios con el fin de determinar el “camino inmunológico” común entre estos dos fenómenos, que podrían resultar en nuevos tratamientos dirigidos a detener </w:t>
      </w:r>
      <w:r>
        <w:rPr>
          <w:spacing w:val="-3"/>
        </w:rPr>
        <w:t xml:space="preserve">la </w:t>
      </w:r>
      <w:r>
        <w:t>carcinogénesis cervical causada por el</w:t>
      </w:r>
      <w:r>
        <w:rPr>
          <w:spacing w:val="18"/>
        </w:rPr>
        <w:t xml:space="preserve"> </w:t>
      </w:r>
      <w:r>
        <w:t>VPH.</w:t>
      </w:r>
    </w:p>
    <w:p w:rsidR="000259E6" w:rsidRDefault="000259E6">
      <w:pPr>
        <w:spacing w:line="276" w:lineRule="auto"/>
        <w:sectPr w:rsidR="000259E6">
          <w:footerReference w:type="even" r:id="rId14"/>
          <w:footerReference w:type="default" r:id="rId15"/>
          <w:pgSz w:w="12240" w:h="15840"/>
          <w:pgMar w:top="1340" w:right="1320" w:bottom="1080" w:left="1340" w:header="723" w:footer="882" w:gutter="0"/>
          <w:pgNumType w:start="11"/>
          <w:cols w:num="2" w:space="720" w:equalWidth="0">
            <w:col w:w="4461" w:space="580"/>
            <w:col w:w="4539"/>
          </w:cols>
        </w:sectPr>
      </w:pPr>
    </w:p>
    <w:p w:rsidR="000259E6" w:rsidRDefault="000259E6">
      <w:pPr>
        <w:pStyle w:val="Textoindependiente"/>
        <w:spacing w:before="8"/>
        <w:ind w:left="0"/>
        <w:jc w:val="left"/>
        <w:rPr>
          <w:sz w:val="27"/>
        </w:rPr>
      </w:pPr>
    </w:p>
    <w:p w:rsidR="000259E6" w:rsidRDefault="006C0149">
      <w:pPr>
        <w:pStyle w:val="Ttulo1"/>
        <w:spacing w:before="92"/>
        <w:jc w:val="left"/>
      </w:pPr>
      <w:r>
        <w:t>BIBLIOGRAFIA</w:t>
      </w:r>
    </w:p>
    <w:p w:rsidR="000259E6" w:rsidRDefault="000259E6">
      <w:pPr>
        <w:pStyle w:val="Textoindependiente"/>
        <w:ind w:left="0"/>
        <w:jc w:val="left"/>
        <w:rPr>
          <w:b/>
          <w:sz w:val="21"/>
        </w:rPr>
      </w:pPr>
    </w:p>
    <w:p w:rsidR="000259E6" w:rsidRDefault="006C0149">
      <w:pPr>
        <w:pStyle w:val="Prrafodelista"/>
        <w:numPr>
          <w:ilvl w:val="0"/>
          <w:numId w:val="1"/>
        </w:numPr>
        <w:tabs>
          <w:tab w:val="left" w:pos="461"/>
        </w:tabs>
        <w:spacing w:line="278" w:lineRule="auto"/>
        <w:ind w:right="931"/>
        <w:rPr>
          <w:sz w:val="20"/>
        </w:rPr>
      </w:pPr>
      <w:proofErr w:type="spellStart"/>
      <w:r w:rsidRPr="00C04C94">
        <w:rPr>
          <w:sz w:val="20"/>
          <w:lang w:val="en-US"/>
        </w:rPr>
        <w:t>Agarwal</w:t>
      </w:r>
      <w:proofErr w:type="spellEnd"/>
      <w:r w:rsidRPr="00C04C94">
        <w:rPr>
          <w:sz w:val="20"/>
          <w:lang w:val="en-US"/>
        </w:rPr>
        <w:t xml:space="preserve"> K, Sharma U, </w:t>
      </w:r>
      <w:proofErr w:type="spellStart"/>
      <w:r w:rsidRPr="00C04C94">
        <w:rPr>
          <w:sz w:val="20"/>
          <w:lang w:val="en-US"/>
        </w:rPr>
        <w:t>Acharya</w:t>
      </w:r>
      <w:proofErr w:type="spellEnd"/>
      <w:r w:rsidRPr="00C04C94">
        <w:rPr>
          <w:sz w:val="20"/>
          <w:lang w:val="en-US"/>
        </w:rPr>
        <w:t xml:space="preserve"> V. (2004) Microbial and </w:t>
      </w:r>
      <w:proofErr w:type="spellStart"/>
      <w:r w:rsidRPr="00C04C94">
        <w:rPr>
          <w:sz w:val="20"/>
          <w:lang w:val="en-US"/>
        </w:rPr>
        <w:t>cytopathological</w:t>
      </w:r>
      <w:proofErr w:type="spellEnd"/>
      <w:r w:rsidRPr="00C04C94">
        <w:rPr>
          <w:sz w:val="20"/>
          <w:lang w:val="en-US"/>
        </w:rPr>
        <w:t xml:space="preserve"> study of</w:t>
      </w:r>
      <w:r w:rsidRPr="00C04C94">
        <w:rPr>
          <w:spacing w:val="-40"/>
          <w:sz w:val="20"/>
          <w:lang w:val="en-US"/>
        </w:rPr>
        <w:t xml:space="preserve"> </w:t>
      </w:r>
      <w:r w:rsidRPr="00C04C94">
        <w:rPr>
          <w:sz w:val="20"/>
          <w:lang w:val="en-US"/>
        </w:rPr>
        <w:t xml:space="preserve">intrauterine contraceptive device users. </w:t>
      </w:r>
      <w:proofErr w:type="spellStart"/>
      <w:r>
        <w:rPr>
          <w:sz w:val="20"/>
        </w:rPr>
        <w:t>Indian</w:t>
      </w:r>
      <w:proofErr w:type="spellEnd"/>
      <w:r>
        <w:rPr>
          <w:sz w:val="20"/>
        </w:rPr>
        <w:t xml:space="preserve"> J </w:t>
      </w:r>
      <w:proofErr w:type="spellStart"/>
      <w:r>
        <w:rPr>
          <w:sz w:val="20"/>
        </w:rPr>
        <w:t>Med</w:t>
      </w:r>
      <w:proofErr w:type="spellEnd"/>
      <w:r>
        <w:rPr>
          <w:sz w:val="20"/>
        </w:rPr>
        <w:t xml:space="preserve"> </w:t>
      </w:r>
      <w:proofErr w:type="spellStart"/>
      <w:r>
        <w:rPr>
          <w:sz w:val="20"/>
        </w:rPr>
        <w:t>Sci</w:t>
      </w:r>
      <w:proofErr w:type="spellEnd"/>
      <w:r>
        <w:rPr>
          <w:sz w:val="20"/>
        </w:rPr>
        <w:t>. 58 (9):394-99. En línea: https:/</w:t>
      </w:r>
      <w:hyperlink r:id="rId16">
        <w:r>
          <w:rPr>
            <w:sz w:val="20"/>
          </w:rPr>
          <w:t>/www.ncb</w:t>
        </w:r>
      </w:hyperlink>
      <w:r>
        <w:rPr>
          <w:sz w:val="20"/>
        </w:rPr>
        <w:t>i</w:t>
      </w:r>
      <w:hyperlink r:id="rId17">
        <w:r>
          <w:rPr>
            <w:sz w:val="20"/>
          </w:rPr>
          <w:t>.nlm.nih.gov/pubmed/15470281</w:t>
        </w:r>
      </w:hyperlink>
    </w:p>
    <w:p w:rsidR="000259E6" w:rsidRDefault="006C0149">
      <w:pPr>
        <w:pStyle w:val="Prrafodelista"/>
        <w:numPr>
          <w:ilvl w:val="0"/>
          <w:numId w:val="1"/>
        </w:numPr>
        <w:tabs>
          <w:tab w:val="left" w:pos="461"/>
        </w:tabs>
        <w:spacing w:line="276" w:lineRule="auto"/>
        <w:ind w:right="424"/>
        <w:rPr>
          <w:sz w:val="20"/>
        </w:rPr>
      </w:pPr>
      <w:proofErr w:type="spellStart"/>
      <w:r w:rsidRPr="00C04C94">
        <w:rPr>
          <w:sz w:val="20"/>
          <w:lang w:val="en-US"/>
        </w:rPr>
        <w:t>Averbach</w:t>
      </w:r>
      <w:proofErr w:type="spellEnd"/>
      <w:r w:rsidRPr="00C04C94">
        <w:rPr>
          <w:spacing w:val="-2"/>
          <w:sz w:val="20"/>
          <w:lang w:val="en-US"/>
        </w:rPr>
        <w:t xml:space="preserve"> </w:t>
      </w:r>
      <w:r w:rsidRPr="00C04C94">
        <w:rPr>
          <w:sz w:val="20"/>
          <w:lang w:val="en-US"/>
        </w:rPr>
        <w:t>S.</w:t>
      </w:r>
      <w:r w:rsidRPr="00C04C94">
        <w:rPr>
          <w:spacing w:val="-1"/>
          <w:sz w:val="20"/>
          <w:lang w:val="en-US"/>
        </w:rPr>
        <w:t xml:space="preserve"> </w:t>
      </w:r>
      <w:r w:rsidRPr="00C04C94">
        <w:rPr>
          <w:sz w:val="20"/>
          <w:lang w:val="en-US"/>
        </w:rPr>
        <w:t>et</w:t>
      </w:r>
      <w:r w:rsidRPr="00C04C94">
        <w:rPr>
          <w:spacing w:val="-2"/>
          <w:sz w:val="20"/>
          <w:lang w:val="en-US"/>
        </w:rPr>
        <w:t xml:space="preserve"> </w:t>
      </w:r>
      <w:r w:rsidRPr="00C04C94">
        <w:rPr>
          <w:sz w:val="20"/>
          <w:lang w:val="en-US"/>
        </w:rPr>
        <w:t>al.</w:t>
      </w:r>
      <w:r w:rsidRPr="00C04C94">
        <w:rPr>
          <w:spacing w:val="-5"/>
          <w:sz w:val="20"/>
          <w:lang w:val="en-US"/>
        </w:rPr>
        <w:t xml:space="preserve"> </w:t>
      </w:r>
      <w:r w:rsidRPr="00C04C94">
        <w:rPr>
          <w:sz w:val="20"/>
          <w:lang w:val="en-US"/>
        </w:rPr>
        <w:t>(2017).</w:t>
      </w:r>
      <w:r w:rsidRPr="00C04C94">
        <w:rPr>
          <w:spacing w:val="-6"/>
          <w:sz w:val="20"/>
          <w:lang w:val="en-US"/>
        </w:rPr>
        <w:t xml:space="preserve"> </w:t>
      </w:r>
      <w:r w:rsidRPr="00C04C94">
        <w:rPr>
          <w:sz w:val="20"/>
          <w:lang w:val="en-US"/>
        </w:rPr>
        <w:t>The</w:t>
      </w:r>
      <w:r w:rsidRPr="00C04C94">
        <w:rPr>
          <w:spacing w:val="-1"/>
          <w:sz w:val="20"/>
          <w:lang w:val="en-US"/>
        </w:rPr>
        <w:t xml:space="preserve"> </w:t>
      </w:r>
      <w:r w:rsidRPr="00C04C94">
        <w:rPr>
          <w:sz w:val="20"/>
          <w:lang w:val="en-US"/>
        </w:rPr>
        <w:t>effect</w:t>
      </w:r>
      <w:r w:rsidRPr="00C04C94">
        <w:rPr>
          <w:spacing w:val="-1"/>
          <w:sz w:val="20"/>
          <w:lang w:val="en-US"/>
        </w:rPr>
        <w:t xml:space="preserve"> </w:t>
      </w:r>
      <w:r w:rsidRPr="00C04C94">
        <w:rPr>
          <w:sz w:val="20"/>
          <w:lang w:val="en-US"/>
        </w:rPr>
        <w:t>of</w:t>
      </w:r>
      <w:r w:rsidRPr="00C04C94">
        <w:rPr>
          <w:spacing w:val="-6"/>
          <w:sz w:val="20"/>
          <w:lang w:val="en-US"/>
        </w:rPr>
        <w:t xml:space="preserve"> </w:t>
      </w:r>
      <w:r w:rsidRPr="00C04C94">
        <w:rPr>
          <w:sz w:val="20"/>
          <w:lang w:val="en-US"/>
        </w:rPr>
        <w:t>intrauterine devices</w:t>
      </w:r>
      <w:r w:rsidRPr="00C04C94">
        <w:rPr>
          <w:spacing w:val="-6"/>
          <w:sz w:val="20"/>
          <w:lang w:val="en-US"/>
        </w:rPr>
        <w:t xml:space="preserve"> </w:t>
      </w:r>
      <w:r w:rsidRPr="00C04C94">
        <w:rPr>
          <w:sz w:val="20"/>
          <w:lang w:val="en-US"/>
        </w:rPr>
        <w:t>on</w:t>
      </w:r>
      <w:r w:rsidRPr="00C04C94">
        <w:rPr>
          <w:spacing w:val="-1"/>
          <w:sz w:val="20"/>
          <w:lang w:val="en-US"/>
        </w:rPr>
        <w:t xml:space="preserve"> </w:t>
      </w:r>
      <w:r w:rsidRPr="00C04C94">
        <w:rPr>
          <w:sz w:val="20"/>
          <w:lang w:val="en-US"/>
        </w:rPr>
        <w:t>acquisition</w:t>
      </w:r>
      <w:r w:rsidRPr="00C04C94">
        <w:rPr>
          <w:spacing w:val="-1"/>
          <w:sz w:val="20"/>
          <w:lang w:val="en-US"/>
        </w:rPr>
        <w:t xml:space="preserve"> </w:t>
      </w:r>
      <w:r w:rsidRPr="00C04C94">
        <w:rPr>
          <w:sz w:val="20"/>
          <w:lang w:val="en-US"/>
        </w:rPr>
        <w:t>and</w:t>
      </w:r>
      <w:r w:rsidRPr="00C04C94">
        <w:rPr>
          <w:spacing w:val="-5"/>
          <w:sz w:val="20"/>
          <w:lang w:val="en-US"/>
        </w:rPr>
        <w:t xml:space="preserve"> </w:t>
      </w:r>
      <w:r w:rsidRPr="00C04C94">
        <w:rPr>
          <w:sz w:val="20"/>
          <w:lang w:val="en-US"/>
        </w:rPr>
        <w:t>clearance</w:t>
      </w:r>
      <w:r w:rsidRPr="00C04C94">
        <w:rPr>
          <w:spacing w:val="-1"/>
          <w:sz w:val="20"/>
          <w:lang w:val="en-US"/>
        </w:rPr>
        <w:t xml:space="preserve"> </w:t>
      </w:r>
      <w:r w:rsidRPr="00C04C94">
        <w:rPr>
          <w:sz w:val="20"/>
          <w:lang w:val="en-US"/>
        </w:rPr>
        <w:t>of</w:t>
      </w:r>
      <w:r w:rsidRPr="00C04C94">
        <w:rPr>
          <w:spacing w:val="-6"/>
          <w:sz w:val="20"/>
          <w:lang w:val="en-US"/>
        </w:rPr>
        <w:t xml:space="preserve"> </w:t>
      </w:r>
      <w:r w:rsidRPr="00C04C94">
        <w:rPr>
          <w:sz w:val="20"/>
          <w:lang w:val="en-US"/>
        </w:rPr>
        <w:t xml:space="preserve">human papillomavirus. </w:t>
      </w:r>
      <w:r>
        <w:rPr>
          <w:sz w:val="20"/>
        </w:rPr>
        <w:t xml:space="preserve">Am J </w:t>
      </w:r>
      <w:proofErr w:type="spellStart"/>
      <w:r>
        <w:rPr>
          <w:sz w:val="20"/>
        </w:rPr>
        <w:t>Obstet</w:t>
      </w:r>
      <w:proofErr w:type="spellEnd"/>
      <w:r>
        <w:rPr>
          <w:sz w:val="20"/>
        </w:rPr>
        <w:t xml:space="preserve"> </w:t>
      </w:r>
      <w:proofErr w:type="spellStart"/>
      <w:r>
        <w:rPr>
          <w:sz w:val="20"/>
        </w:rPr>
        <w:t>Gynecol</w:t>
      </w:r>
      <w:proofErr w:type="spellEnd"/>
      <w:r>
        <w:rPr>
          <w:sz w:val="20"/>
        </w:rPr>
        <w:t xml:space="preserve"> 216:386.e1-5.En </w:t>
      </w:r>
      <w:proofErr w:type="spellStart"/>
      <w:r>
        <w:rPr>
          <w:sz w:val="20"/>
        </w:rPr>
        <w:t>linea</w:t>
      </w:r>
      <w:proofErr w:type="spellEnd"/>
      <w:r>
        <w:rPr>
          <w:sz w:val="20"/>
        </w:rPr>
        <w:t>:</w:t>
      </w:r>
      <w:hyperlink r:id="rId18">
        <w:r>
          <w:rPr>
            <w:sz w:val="20"/>
          </w:rPr>
          <w:t xml:space="preserve"> http://dx.doi.org/10.1016/j.ajog</w:t>
        </w:r>
        <w:r>
          <w:rPr>
            <w:sz w:val="20"/>
          </w:rPr>
          <w:t>.2016.11.1053</w:t>
        </w:r>
      </w:hyperlink>
    </w:p>
    <w:p w:rsidR="000259E6" w:rsidRDefault="006C0149">
      <w:pPr>
        <w:pStyle w:val="Prrafodelista"/>
        <w:numPr>
          <w:ilvl w:val="0"/>
          <w:numId w:val="1"/>
        </w:numPr>
        <w:tabs>
          <w:tab w:val="left" w:pos="461"/>
        </w:tabs>
        <w:spacing w:line="276" w:lineRule="auto"/>
        <w:ind w:right="438"/>
        <w:rPr>
          <w:sz w:val="20"/>
        </w:rPr>
      </w:pPr>
      <w:proofErr w:type="spellStart"/>
      <w:r>
        <w:rPr>
          <w:sz w:val="20"/>
        </w:rPr>
        <w:t>Brebi</w:t>
      </w:r>
      <w:proofErr w:type="spellEnd"/>
      <w:r>
        <w:rPr>
          <w:sz w:val="20"/>
        </w:rPr>
        <w:t xml:space="preserve"> P. et al. (2013) Infección por el virus del papiloma humano en el hombre y su relación con</w:t>
      </w:r>
      <w:r>
        <w:rPr>
          <w:spacing w:val="-36"/>
          <w:sz w:val="20"/>
        </w:rPr>
        <w:t xml:space="preserve"> </w:t>
      </w:r>
      <w:r>
        <w:rPr>
          <w:sz w:val="20"/>
        </w:rPr>
        <w:t xml:space="preserve">el cáncer: estado actual y prospectivas. </w:t>
      </w:r>
      <w:proofErr w:type="spellStart"/>
      <w:r>
        <w:rPr>
          <w:sz w:val="20"/>
        </w:rPr>
        <w:t>Rev</w:t>
      </w:r>
      <w:proofErr w:type="spellEnd"/>
      <w:r>
        <w:rPr>
          <w:sz w:val="20"/>
        </w:rPr>
        <w:t xml:space="preserve"> </w:t>
      </w:r>
      <w:proofErr w:type="spellStart"/>
      <w:r>
        <w:rPr>
          <w:sz w:val="20"/>
        </w:rPr>
        <w:t>Int</w:t>
      </w:r>
      <w:proofErr w:type="spellEnd"/>
      <w:r>
        <w:rPr>
          <w:sz w:val="20"/>
        </w:rPr>
        <w:t xml:space="preserve"> Androl.</w:t>
      </w:r>
      <w:proofErr w:type="gramStart"/>
      <w:r>
        <w:rPr>
          <w:sz w:val="20"/>
        </w:rPr>
        <w:t>;11</w:t>
      </w:r>
      <w:proofErr w:type="gramEnd"/>
      <w:r>
        <w:rPr>
          <w:sz w:val="20"/>
        </w:rPr>
        <w:t>(1):25-30. En línea:</w:t>
      </w:r>
      <w:hyperlink r:id="rId19">
        <w:r>
          <w:rPr>
            <w:sz w:val="20"/>
          </w:rPr>
          <w:t xml:space="preserve"> http://dx.doi.org/10.1016/j.androl.2012.09.001</w:t>
        </w:r>
      </w:hyperlink>
    </w:p>
    <w:p w:rsidR="000259E6" w:rsidRDefault="006C0149">
      <w:pPr>
        <w:pStyle w:val="Prrafodelista"/>
        <w:numPr>
          <w:ilvl w:val="0"/>
          <w:numId w:val="1"/>
        </w:numPr>
        <w:tabs>
          <w:tab w:val="left" w:pos="461"/>
        </w:tabs>
        <w:spacing w:line="278" w:lineRule="auto"/>
        <w:ind w:right="457"/>
        <w:rPr>
          <w:sz w:val="20"/>
        </w:rPr>
      </w:pPr>
      <w:proofErr w:type="spellStart"/>
      <w:r w:rsidRPr="00C04C94">
        <w:rPr>
          <w:sz w:val="20"/>
          <w:lang w:val="en-US"/>
        </w:rPr>
        <w:t>Castellsagué</w:t>
      </w:r>
      <w:proofErr w:type="spellEnd"/>
      <w:r w:rsidRPr="00C04C94">
        <w:rPr>
          <w:sz w:val="20"/>
          <w:lang w:val="en-US"/>
        </w:rPr>
        <w:t xml:space="preserve"> X. et al. (2011) Intrauterine device use, cervical infection with human papillomavirus, and risk of cervical cancer: a pooled analysis of 26 epidemiological studies. </w:t>
      </w:r>
      <w:proofErr w:type="spellStart"/>
      <w:r>
        <w:rPr>
          <w:sz w:val="20"/>
        </w:rPr>
        <w:t>Lancet</w:t>
      </w:r>
      <w:proofErr w:type="spellEnd"/>
      <w:r>
        <w:rPr>
          <w:sz w:val="20"/>
        </w:rPr>
        <w:t xml:space="preserve"> </w:t>
      </w:r>
      <w:proofErr w:type="spellStart"/>
      <w:r>
        <w:rPr>
          <w:sz w:val="20"/>
        </w:rPr>
        <w:t>Oncol</w:t>
      </w:r>
      <w:proofErr w:type="spellEnd"/>
      <w:r>
        <w:rPr>
          <w:sz w:val="20"/>
        </w:rPr>
        <w:t>. 12(11):1023-31.</w:t>
      </w:r>
      <w:r>
        <w:rPr>
          <w:sz w:val="20"/>
        </w:rPr>
        <w:t xml:space="preserve"> En línea: DOI:</w:t>
      </w:r>
      <w:r>
        <w:rPr>
          <w:spacing w:val="-9"/>
          <w:sz w:val="20"/>
        </w:rPr>
        <w:t xml:space="preserve"> </w:t>
      </w:r>
      <w:hyperlink r:id="rId20">
        <w:r>
          <w:rPr>
            <w:sz w:val="20"/>
          </w:rPr>
          <w:t>http://dx.doi.org/10.1016/S1470-2045(11)70223-6</w:t>
        </w:r>
      </w:hyperlink>
    </w:p>
    <w:p w:rsidR="000259E6" w:rsidRDefault="006C0149">
      <w:pPr>
        <w:pStyle w:val="Prrafodelista"/>
        <w:numPr>
          <w:ilvl w:val="0"/>
          <w:numId w:val="1"/>
        </w:numPr>
        <w:tabs>
          <w:tab w:val="left" w:pos="461"/>
        </w:tabs>
        <w:spacing w:line="276" w:lineRule="auto"/>
        <w:ind w:right="635"/>
        <w:jc w:val="both"/>
        <w:rPr>
          <w:sz w:val="20"/>
        </w:rPr>
      </w:pPr>
      <w:r>
        <w:rPr>
          <w:sz w:val="20"/>
        </w:rPr>
        <w:t>Cortés-</w:t>
      </w:r>
      <w:proofErr w:type="spellStart"/>
      <w:r>
        <w:rPr>
          <w:sz w:val="20"/>
        </w:rPr>
        <w:t>Alaguero</w:t>
      </w:r>
      <w:proofErr w:type="spellEnd"/>
      <w:r>
        <w:rPr>
          <w:sz w:val="20"/>
        </w:rPr>
        <w:t xml:space="preserve"> C. et al. </w:t>
      </w:r>
      <w:r w:rsidRPr="00C04C94">
        <w:rPr>
          <w:sz w:val="20"/>
          <w:lang w:val="en-US"/>
        </w:rPr>
        <w:t>(2017). Do clinical data and human papilloma virus genotype influence spontaneous regression in gra</w:t>
      </w:r>
      <w:r w:rsidRPr="00C04C94">
        <w:rPr>
          <w:sz w:val="20"/>
          <w:lang w:val="en-US"/>
        </w:rPr>
        <w:t xml:space="preserve">de I cervical intraepithelial </w:t>
      </w:r>
      <w:proofErr w:type="spellStart"/>
      <w:r w:rsidRPr="00C04C94">
        <w:rPr>
          <w:sz w:val="20"/>
          <w:lang w:val="en-US"/>
        </w:rPr>
        <w:t>neoplasia</w:t>
      </w:r>
      <w:proofErr w:type="spellEnd"/>
      <w:proofErr w:type="gramStart"/>
      <w:r w:rsidRPr="00C04C94">
        <w:rPr>
          <w:sz w:val="20"/>
          <w:lang w:val="en-US"/>
        </w:rPr>
        <w:t>?.</w:t>
      </w:r>
      <w:proofErr w:type="gramEnd"/>
      <w:r w:rsidRPr="00C04C94">
        <w:rPr>
          <w:sz w:val="20"/>
          <w:lang w:val="en-US"/>
        </w:rPr>
        <w:t xml:space="preserve"> </w:t>
      </w:r>
      <w:r>
        <w:rPr>
          <w:sz w:val="20"/>
        </w:rPr>
        <w:t xml:space="preserve">J </w:t>
      </w:r>
      <w:proofErr w:type="spellStart"/>
      <w:r>
        <w:rPr>
          <w:sz w:val="20"/>
        </w:rPr>
        <w:t>Turk</w:t>
      </w:r>
      <w:proofErr w:type="spellEnd"/>
      <w:r>
        <w:rPr>
          <w:sz w:val="20"/>
        </w:rPr>
        <w:t xml:space="preserve"> </w:t>
      </w:r>
      <w:proofErr w:type="spellStart"/>
      <w:r>
        <w:rPr>
          <w:sz w:val="20"/>
        </w:rPr>
        <w:t>Ger</w:t>
      </w:r>
      <w:proofErr w:type="spellEnd"/>
      <w:r>
        <w:rPr>
          <w:sz w:val="20"/>
        </w:rPr>
        <w:t xml:space="preserve"> </w:t>
      </w:r>
      <w:proofErr w:type="spellStart"/>
      <w:r>
        <w:rPr>
          <w:sz w:val="20"/>
        </w:rPr>
        <w:t>Gynecol</w:t>
      </w:r>
      <w:proofErr w:type="spellEnd"/>
      <w:r>
        <w:rPr>
          <w:sz w:val="20"/>
        </w:rPr>
        <w:t xml:space="preserve"> </w:t>
      </w:r>
      <w:proofErr w:type="spellStart"/>
      <w:r>
        <w:rPr>
          <w:sz w:val="20"/>
        </w:rPr>
        <w:t>Assoc</w:t>
      </w:r>
      <w:proofErr w:type="spellEnd"/>
      <w:r>
        <w:rPr>
          <w:sz w:val="20"/>
        </w:rPr>
        <w:t xml:space="preserve"> 2017; 18: 1-8. En Línea: DOI:</w:t>
      </w:r>
      <w:r>
        <w:rPr>
          <w:spacing w:val="-11"/>
          <w:sz w:val="20"/>
        </w:rPr>
        <w:t xml:space="preserve"> </w:t>
      </w:r>
      <w:r>
        <w:rPr>
          <w:sz w:val="20"/>
        </w:rPr>
        <w:t>10.4274/jtgga.2016.0138</w:t>
      </w:r>
    </w:p>
    <w:p w:rsidR="000259E6" w:rsidRDefault="006C0149">
      <w:pPr>
        <w:pStyle w:val="Prrafodelista"/>
        <w:numPr>
          <w:ilvl w:val="0"/>
          <w:numId w:val="1"/>
        </w:numPr>
        <w:tabs>
          <w:tab w:val="left" w:pos="461"/>
        </w:tabs>
        <w:spacing w:line="229" w:lineRule="exact"/>
        <w:rPr>
          <w:sz w:val="20"/>
        </w:rPr>
      </w:pPr>
      <w:proofErr w:type="spellStart"/>
      <w:r>
        <w:rPr>
          <w:sz w:val="20"/>
        </w:rPr>
        <w:t>DeCherney</w:t>
      </w:r>
      <w:proofErr w:type="spellEnd"/>
      <w:r>
        <w:rPr>
          <w:sz w:val="20"/>
        </w:rPr>
        <w:t xml:space="preserve"> A. 2014. Diagnóstico y Tratamiento </w:t>
      </w:r>
      <w:proofErr w:type="spellStart"/>
      <w:r>
        <w:rPr>
          <w:sz w:val="20"/>
        </w:rPr>
        <w:t>Ginecoobstetricos</w:t>
      </w:r>
      <w:proofErr w:type="spellEnd"/>
      <w:r>
        <w:rPr>
          <w:sz w:val="20"/>
        </w:rPr>
        <w:t xml:space="preserve">. </w:t>
      </w:r>
      <w:proofErr w:type="spellStart"/>
      <w:r>
        <w:rPr>
          <w:sz w:val="20"/>
        </w:rPr>
        <w:t>Mexico</w:t>
      </w:r>
      <w:proofErr w:type="spellEnd"/>
      <w:r>
        <w:rPr>
          <w:sz w:val="20"/>
        </w:rPr>
        <w:t xml:space="preserve"> DF.</w:t>
      </w:r>
      <w:r>
        <w:rPr>
          <w:spacing w:val="-11"/>
          <w:sz w:val="20"/>
        </w:rPr>
        <w:t xml:space="preserve"> </w:t>
      </w:r>
      <w:proofErr w:type="spellStart"/>
      <w:r>
        <w:rPr>
          <w:sz w:val="20"/>
        </w:rPr>
        <w:t>McGRAW-HILL</w:t>
      </w:r>
      <w:proofErr w:type="spellEnd"/>
      <w:r>
        <w:rPr>
          <w:sz w:val="20"/>
        </w:rPr>
        <w:t>.</w:t>
      </w:r>
    </w:p>
    <w:p w:rsidR="000259E6" w:rsidRDefault="006C0149">
      <w:pPr>
        <w:pStyle w:val="Prrafodelista"/>
        <w:numPr>
          <w:ilvl w:val="0"/>
          <w:numId w:val="1"/>
        </w:numPr>
        <w:tabs>
          <w:tab w:val="left" w:pos="461"/>
        </w:tabs>
        <w:spacing w:before="23" w:line="276" w:lineRule="auto"/>
        <w:ind w:right="579"/>
        <w:rPr>
          <w:sz w:val="20"/>
        </w:rPr>
      </w:pPr>
      <w:r w:rsidRPr="00C04C94">
        <w:rPr>
          <w:sz w:val="20"/>
          <w:lang w:val="en-US"/>
        </w:rPr>
        <w:t xml:space="preserve">Engineer AD, </w:t>
      </w:r>
      <w:proofErr w:type="spellStart"/>
      <w:r w:rsidRPr="00C04C94">
        <w:rPr>
          <w:sz w:val="20"/>
          <w:lang w:val="en-US"/>
        </w:rPr>
        <w:t>Misra</w:t>
      </w:r>
      <w:proofErr w:type="spellEnd"/>
      <w:r w:rsidRPr="00C04C94">
        <w:rPr>
          <w:sz w:val="20"/>
          <w:lang w:val="en-US"/>
        </w:rPr>
        <w:t xml:space="preserve"> JS, </w:t>
      </w:r>
      <w:proofErr w:type="spellStart"/>
      <w:proofErr w:type="gramStart"/>
      <w:r w:rsidRPr="00C04C94">
        <w:rPr>
          <w:sz w:val="20"/>
          <w:lang w:val="en-US"/>
        </w:rPr>
        <w:t>Tandon</w:t>
      </w:r>
      <w:proofErr w:type="spellEnd"/>
      <w:proofErr w:type="gramEnd"/>
      <w:r w:rsidRPr="00C04C94">
        <w:rPr>
          <w:sz w:val="20"/>
          <w:lang w:val="en-US"/>
        </w:rPr>
        <w:t xml:space="preserve"> P. (1981) Long-term </w:t>
      </w:r>
      <w:proofErr w:type="spellStart"/>
      <w:r w:rsidRPr="00C04C94">
        <w:rPr>
          <w:sz w:val="20"/>
          <w:lang w:val="en-US"/>
        </w:rPr>
        <w:t>cytologic</w:t>
      </w:r>
      <w:proofErr w:type="spellEnd"/>
      <w:r w:rsidRPr="00C04C94">
        <w:rPr>
          <w:sz w:val="20"/>
          <w:lang w:val="en-US"/>
        </w:rPr>
        <w:t xml:space="preserve"> studies of copper-IUD users. </w:t>
      </w:r>
      <w:r>
        <w:rPr>
          <w:sz w:val="20"/>
        </w:rPr>
        <w:t xml:space="preserve">Acta </w:t>
      </w:r>
      <w:proofErr w:type="spellStart"/>
      <w:r>
        <w:rPr>
          <w:sz w:val="20"/>
        </w:rPr>
        <w:t>Cytol</w:t>
      </w:r>
      <w:proofErr w:type="spellEnd"/>
      <w:r>
        <w:rPr>
          <w:sz w:val="20"/>
        </w:rPr>
        <w:t>. 25 (5):550-56. En línea:</w:t>
      </w:r>
      <w:r>
        <w:rPr>
          <w:spacing w:val="-6"/>
          <w:sz w:val="20"/>
        </w:rPr>
        <w:t xml:space="preserve"> </w:t>
      </w:r>
      <w:r>
        <w:rPr>
          <w:sz w:val="20"/>
        </w:rPr>
        <w:t>https:/</w:t>
      </w:r>
      <w:hyperlink r:id="rId21">
        <w:r>
          <w:rPr>
            <w:sz w:val="20"/>
          </w:rPr>
          <w:t>/www.n</w:t>
        </w:r>
      </w:hyperlink>
      <w:r>
        <w:rPr>
          <w:sz w:val="20"/>
        </w:rPr>
        <w:t>c</w:t>
      </w:r>
      <w:hyperlink r:id="rId22">
        <w:r>
          <w:rPr>
            <w:sz w:val="20"/>
          </w:rPr>
          <w:t>bi.nlm.nih.gov/pubmed/6945020</w:t>
        </w:r>
      </w:hyperlink>
    </w:p>
    <w:p w:rsidR="000259E6" w:rsidRDefault="006C0149">
      <w:pPr>
        <w:pStyle w:val="Prrafodelista"/>
        <w:numPr>
          <w:ilvl w:val="0"/>
          <w:numId w:val="1"/>
        </w:numPr>
        <w:tabs>
          <w:tab w:val="left" w:pos="461"/>
        </w:tabs>
        <w:spacing w:line="278" w:lineRule="auto"/>
        <w:ind w:right="171"/>
        <w:rPr>
          <w:sz w:val="20"/>
        </w:rPr>
      </w:pPr>
      <w:proofErr w:type="spellStart"/>
      <w:r w:rsidRPr="00C04C94">
        <w:rPr>
          <w:sz w:val="20"/>
          <w:lang w:val="en-US"/>
        </w:rPr>
        <w:t>Ganacharya</w:t>
      </w:r>
      <w:proofErr w:type="spellEnd"/>
      <w:r w:rsidRPr="00C04C94">
        <w:rPr>
          <w:sz w:val="20"/>
          <w:lang w:val="en-US"/>
        </w:rPr>
        <w:t xml:space="preserve"> S, </w:t>
      </w:r>
      <w:proofErr w:type="spellStart"/>
      <w:r w:rsidRPr="00C04C94">
        <w:rPr>
          <w:sz w:val="20"/>
          <w:lang w:val="en-US"/>
        </w:rPr>
        <w:t>Bhattoa</w:t>
      </w:r>
      <w:proofErr w:type="spellEnd"/>
      <w:r w:rsidRPr="00C04C94">
        <w:rPr>
          <w:sz w:val="20"/>
          <w:lang w:val="en-US"/>
        </w:rPr>
        <w:t xml:space="preserve"> HP, </w:t>
      </w:r>
      <w:proofErr w:type="spellStart"/>
      <w:r w:rsidRPr="00C04C94">
        <w:rPr>
          <w:sz w:val="20"/>
          <w:lang w:val="en-US"/>
        </w:rPr>
        <w:t>Batár</w:t>
      </w:r>
      <w:proofErr w:type="spellEnd"/>
      <w:r w:rsidRPr="00C04C94">
        <w:rPr>
          <w:sz w:val="20"/>
          <w:lang w:val="en-US"/>
        </w:rPr>
        <w:t xml:space="preserve"> I. (2006). Pre-malignant and malignant cervical pathologies</w:t>
      </w:r>
      <w:r w:rsidRPr="00C04C94">
        <w:rPr>
          <w:spacing w:val="-40"/>
          <w:sz w:val="20"/>
          <w:lang w:val="en-US"/>
        </w:rPr>
        <w:t xml:space="preserve"> </w:t>
      </w:r>
      <w:r w:rsidRPr="00C04C94">
        <w:rPr>
          <w:sz w:val="20"/>
          <w:lang w:val="en-US"/>
        </w:rPr>
        <w:t xml:space="preserve">among inert and copper-bearing intrauterine contraceptive device users: a 10-year follow-up study. </w:t>
      </w:r>
      <w:proofErr w:type="spellStart"/>
      <w:r>
        <w:rPr>
          <w:sz w:val="20"/>
        </w:rPr>
        <w:t>Eur</w:t>
      </w:r>
      <w:proofErr w:type="spellEnd"/>
      <w:r>
        <w:rPr>
          <w:sz w:val="20"/>
        </w:rPr>
        <w:t xml:space="preserve"> J </w:t>
      </w:r>
      <w:proofErr w:type="spellStart"/>
      <w:r>
        <w:rPr>
          <w:sz w:val="20"/>
        </w:rPr>
        <w:t>Contracept</w:t>
      </w:r>
      <w:proofErr w:type="spellEnd"/>
      <w:r>
        <w:rPr>
          <w:sz w:val="20"/>
        </w:rPr>
        <w:t xml:space="preserve"> </w:t>
      </w:r>
      <w:proofErr w:type="spellStart"/>
      <w:r>
        <w:rPr>
          <w:sz w:val="20"/>
        </w:rPr>
        <w:t>Reprod</w:t>
      </w:r>
      <w:proofErr w:type="spellEnd"/>
      <w:r>
        <w:rPr>
          <w:sz w:val="20"/>
        </w:rPr>
        <w:t xml:space="preserve"> </w:t>
      </w:r>
      <w:proofErr w:type="spellStart"/>
      <w:r>
        <w:rPr>
          <w:sz w:val="20"/>
        </w:rPr>
        <w:t>Hea</w:t>
      </w:r>
      <w:r>
        <w:rPr>
          <w:sz w:val="20"/>
        </w:rPr>
        <w:t>lth</w:t>
      </w:r>
      <w:proofErr w:type="spellEnd"/>
      <w:r>
        <w:rPr>
          <w:sz w:val="20"/>
        </w:rPr>
        <w:t xml:space="preserve"> </w:t>
      </w:r>
      <w:proofErr w:type="gramStart"/>
      <w:r>
        <w:rPr>
          <w:sz w:val="20"/>
        </w:rPr>
        <w:t>Care.11(</w:t>
      </w:r>
      <w:proofErr w:type="gramEnd"/>
      <w:r>
        <w:rPr>
          <w:sz w:val="20"/>
        </w:rPr>
        <w:t xml:space="preserve">2):89-97. En </w:t>
      </w:r>
      <w:proofErr w:type="spellStart"/>
      <w:r>
        <w:rPr>
          <w:sz w:val="20"/>
        </w:rPr>
        <w:t>Linea</w:t>
      </w:r>
      <w:proofErr w:type="spellEnd"/>
      <w:r>
        <w:rPr>
          <w:sz w:val="20"/>
        </w:rPr>
        <w:t>: DOI:</w:t>
      </w:r>
      <w:r>
        <w:rPr>
          <w:spacing w:val="-15"/>
          <w:sz w:val="20"/>
        </w:rPr>
        <w:t xml:space="preserve"> </w:t>
      </w:r>
      <w:r>
        <w:rPr>
          <w:sz w:val="20"/>
        </w:rPr>
        <w:t>10.1080/13625180500539513</w:t>
      </w:r>
    </w:p>
    <w:p w:rsidR="000259E6" w:rsidRDefault="006C0149">
      <w:pPr>
        <w:pStyle w:val="Prrafodelista"/>
        <w:numPr>
          <w:ilvl w:val="0"/>
          <w:numId w:val="1"/>
        </w:numPr>
        <w:tabs>
          <w:tab w:val="left" w:pos="461"/>
        </w:tabs>
        <w:spacing w:line="276" w:lineRule="auto"/>
        <w:ind w:right="830"/>
        <w:rPr>
          <w:sz w:val="20"/>
        </w:rPr>
      </w:pPr>
      <w:proofErr w:type="spellStart"/>
      <w:r w:rsidRPr="00C04C94">
        <w:rPr>
          <w:sz w:val="20"/>
          <w:lang w:val="en-US"/>
        </w:rPr>
        <w:t>Lassise</w:t>
      </w:r>
      <w:proofErr w:type="spellEnd"/>
      <w:r w:rsidRPr="00C04C94">
        <w:rPr>
          <w:sz w:val="20"/>
          <w:lang w:val="en-US"/>
        </w:rPr>
        <w:t xml:space="preserve"> DL. </w:t>
      </w:r>
      <w:proofErr w:type="gramStart"/>
      <w:r w:rsidRPr="00C04C94">
        <w:rPr>
          <w:sz w:val="20"/>
          <w:lang w:val="en-US"/>
        </w:rPr>
        <w:t>et</w:t>
      </w:r>
      <w:proofErr w:type="gramEnd"/>
      <w:r w:rsidRPr="00C04C94">
        <w:rPr>
          <w:sz w:val="20"/>
          <w:lang w:val="en-US"/>
        </w:rPr>
        <w:t xml:space="preserve"> al (1991). Invasive cervical cancer and intrauterine device use. </w:t>
      </w:r>
      <w:proofErr w:type="spellStart"/>
      <w:r>
        <w:rPr>
          <w:sz w:val="20"/>
        </w:rPr>
        <w:t>Int</w:t>
      </w:r>
      <w:proofErr w:type="spellEnd"/>
      <w:r>
        <w:rPr>
          <w:sz w:val="20"/>
        </w:rPr>
        <w:t xml:space="preserve"> J </w:t>
      </w:r>
      <w:proofErr w:type="spellStart"/>
      <w:r>
        <w:rPr>
          <w:sz w:val="20"/>
        </w:rPr>
        <w:t>Epidemiol</w:t>
      </w:r>
      <w:proofErr w:type="spellEnd"/>
      <w:r>
        <w:rPr>
          <w:sz w:val="20"/>
        </w:rPr>
        <w:t xml:space="preserve">. 20(4):865-70. En </w:t>
      </w:r>
      <w:proofErr w:type="spellStart"/>
      <w:r>
        <w:rPr>
          <w:sz w:val="20"/>
        </w:rPr>
        <w:t>Linea</w:t>
      </w:r>
      <w:proofErr w:type="spellEnd"/>
      <w:r>
        <w:rPr>
          <w:sz w:val="20"/>
        </w:rPr>
        <w:t>:</w:t>
      </w:r>
      <w:r>
        <w:rPr>
          <w:spacing w:val="-2"/>
          <w:sz w:val="20"/>
        </w:rPr>
        <w:t xml:space="preserve"> </w:t>
      </w:r>
      <w:r>
        <w:rPr>
          <w:sz w:val="20"/>
        </w:rPr>
        <w:t>https://doi.org/10.1093/ije/20.4.865</w:t>
      </w:r>
    </w:p>
    <w:p w:rsidR="000259E6" w:rsidRDefault="006C0149">
      <w:pPr>
        <w:pStyle w:val="Prrafodelista"/>
        <w:numPr>
          <w:ilvl w:val="0"/>
          <w:numId w:val="1"/>
        </w:numPr>
        <w:tabs>
          <w:tab w:val="left" w:pos="461"/>
        </w:tabs>
        <w:spacing w:line="276" w:lineRule="auto"/>
        <w:ind w:right="220"/>
        <w:rPr>
          <w:sz w:val="20"/>
        </w:rPr>
      </w:pPr>
      <w:proofErr w:type="spellStart"/>
      <w:r>
        <w:rPr>
          <w:sz w:val="20"/>
        </w:rPr>
        <w:t>Misra</w:t>
      </w:r>
      <w:proofErr w:type="spellEnd"/>
      <w:r>
        <w:rPr>
          <w:spacing w:val="-3"/>
          <w:sz w:val="20"/>
        </w:rPr>
        <w:t xml:space="preserve"> </w:t>
      </w:r>
      <w:r>
        <w:rPr>
          <w:sz w:val="20"/>
        </w:rPr>
        <w:t>JS,</w:t>
      </w:r>
      <w:r>
        <w:rPr>
          <w:spacing w:val="-3"/>
          <w:sz w:val="20"/>
        </w:rPr>
        <w:t xml:space="preserve"> </w:t>
      </w:r>
      <w:r>
        <w:rPr>
          <w:sz w:val="20"/>
        </w:rPr>
        <w:t>et</w:t>
      </w:r>
      <w:r>
        <w:rPr>
          <w:spacing w:val="-3"/>
          <w:sz w:val="20"/>
        </w:rPr>
        <w:t xml:space="preserve"> </w:t>
      </w:r>
      <w:r>
        <w:rPr>
          <w:sz w:val="20"/>
        </w:rPr>
        <w:t>al.</w:t>
      </w:r>
      <w:r>
        <w:rPr>
          <w:spacing w:val="-6"/>
          <w:sz w:val="20"/>
        </w:rPr>
        <w:t xml:space="preserve"> </w:t>
      </w:r>
      <w:r>
        <w:rPr>
          <w:sz w:val="20"/>
        </w:rPr>
        <w:t>(1991)</w:t>
      </w:r>
      <w:r>
        <w:rPr>
          <w:spacing w:val="-2"/>
          <w:sz w:val="20"/>
        </w:rPr>
        <w:t xml:space="preserve"> </w:t>
      </w:r>
      <w:r>
        <w:rPr>
          <w:sz w:val="20"/>
        </w:rPr>
        <w:t>Cervical</w:t>
      </w:r>
      <w:r>
        <w:rPr>
          <w:spacing w:val="-3"/>
          <w:sz w:val="20"/>
        </w:rPr>
        <w:t xml:space="preserve"> </w:t>
      </w:r>
      <w:proofErr w:type="spellStart"/>
      <w:r>
        <w:rPr>
          <w:sz w:val="20"/>
        </w:rPr>
        <w:t>carcinogenesis</w:t>
      </w:r>
      <w:proofErr w:type="spellEnd"/>
      <w:r>
        <w:rPr>
          <w:spacing w:val="-3"/>
          <w:sz w:val="20"/>
        </w:rPr>
        <w:t xml:space="preserve"> </w:t>
      </w:r>
      <w:r>
        <w:rPr>
          <w:sz w:val="20"/>
        </w:rPr>
        <w:t>and</w:t>
      </w:r>
      <w:r>
        <w:rPr>
          <w:spacing w:val="-2"/>
          <w:sz w:val="20"/>
        </w:rPr>
        <w:t xml:space="preserve"> </w:t>
      </w:r>
      <w:proofErr w:type="spellStart"/>
      <w:r>
        <w:rPr>
          <w:sz w:val="20"/>
        </w:rPr>
        <w:t>contraception</w:t>
      </w:r>
      <w:proofErr w:type="spellEnd"/>
      <w:r>
        <w:rPr>
          <w:sz w:val="20"/>
        </w:rPr>
        <w:t>.</w:t>
      </w:r>
      <w:r>
        <w:rPr>
          <w:spacing w:val="-3"/>
          <w:sz w:val="20"/>
        </w:rPr>
        <w:t xml:space="preserve"> </w:t>
      </w:r>
      <w:proofErr w:type="spellStart"/>
      <w:r>
        <w:rPr>
          <w:sz w:val="20"/>
        </w:rPr>
        <w:t>Diagn</w:t>
      </w:r>
      <w:proofErr w:type="spellEnd"/>
      <w:r>
        <w:rPr>
          <w:spacing w:val="-3"/>
          <w:sz w:val="20"/>
        </w:rPr>
        <w:t xml:space="preserve"> </w:t>
      </w:r>
      <w:proofErr w:type="spellStart"/>
      <w:r>
        <w:rPr>
          <w:sz w:val="20"/>
        </w:rPr>
        <w:t>Cytopahtol</w:t>
      </w:r>
      <w:proofErr w:type="spellEnd"/>
      <w:r>
        <w:rPr>
          <w:sz w:val="20"/>
        </w:rPr>
        <w:t>.</w:t>
      </w:r>
      <w:r>
        <w:rPr>
          <w:spacing w:val="-6"/>
          <w:sz w:val="20"/>
        </w:rPr>
        <w:t xml:space="preserve"> </w:t>
      </w:r>
      <w:r>
        <w:rPr>
          <w:sz w:val="20"/>
        </w:rPr>
        <w:t>7(4):</w:t>
      </w:r>
      <w:r>
        <w:rPr>
          <w:spacing w:val="-3"/>
          <w:sz w:val="20"/>
        </w:rPr>
        <w:t xml:space="preserve"> </w:t>
      </w:r>
      <w:r>
        <w:rPr>
          <w:sz w:val="20"/>
        </w:rPr>
        <w:t>55056.</w:t>
      </w:r>
      <w:r>
        <w:rPr>
          <w:spacing w:val="-3"/>
          <w:sz w:val="20"/>
        </w:rPr>
        <w:t xml:space="preserve"> </w:t>
      </w:r>
      <w:r>
        <w:rPr>
          <w:sz w:val="20"/>
        </w:rPr>
        <w:t>En línea: DOI: 10.1002/dc.2840070405</w:t>
      </w:r>
    </w:p>
    <w:p w:rsidR="000259E6" w:rsidRDefault="006C0149">
      <w:pPr>
        <w:pStyle w:val="Prrafodelista"/>
        <w:numPr>
          <w:ilvl w:val="0"/>
          <w:numId w:val="1"/>
        </w:numPr>
        <w:tabs>
          <w:tab w:val="left" w:pos="461"/>
        </w:tabs>
        <w:spacing w:line="278" w:lineRule="auto"/>
        <w:ind w:right="228"/>
        <w:rPr>
          <w:sz w:val="20"/>
        </w:rPr>
      </w:pPr>
      <w:proofErr w:type="spellStart"/>
      <w:r w:rsidRPr="00C04C94">
        <w:rPr>
          <w:sz w:val="20"/>
          <w:lang w:val="en-US"/>
        </w:rPr>
        <w:t>Moschos</w:t>
      </w:r>
      <w:proofErr w:type="spellEnd"/>
      <w:r w:rsidRPr="00C04C94">
        <w:rPr>
          <w:sz w:val="20"/>
          <w:lang w:val="en-US"/>
        </w:rPr>
        <w:t xml:space="preserve"> E, </w:t>
      </w:r>
      <w:proofErr w:type="spellStart"/>
      <w:r w:rsidRPr="00C04C94">
        <w:rPr>
          <w:sz w:val="20"/>
          <w:lang w:val="en-US"/>
        </w:rPr>
        <w:t>Twickler</w:t>
      </w:r>
      <w:proofErr w:type="spellEnd"/>
      <w:r w:rsidRPr="00C04C94">
        <w:rPr>
          <w:sz w:val="20"/>
          <w:lang w:val="en-US"/>
        </w:rPr>
        <w:t xml:space="preserve"> DM. (2011). Intrauterine devices in early pregnancy: findings on ultrasound</w:t>
      </w:r>
      <w:r w:rsidRPr="00C04C94">
        <w:rPr>
          <w:spacing w:val="-36"/>
          <w:sz w:val="20"/>
          <w:lang w:val="en-US"/>
        </w:rPr>
        <w:t xml:space="preserve"> </w:t>
      </w:r>
      <w:r w:rsidRPr="00C04C94">
        <w:rPr>
          <w:sz w:val="20"/>
          <w:lang w:val="en-US"/>
        </w:rPr>
        <w:t xml:space="preserve">and clinical outcomes. </w:t>
      </w:r>
      <w:r>
        <w:rPr>
          <w:sz w:val="20"/>
        </w:rPr>
        <w:t xml:space="preserve">Am J </w:t>
      </w:r>
      <w:proofErr w:type="spellStart"/>
      <w:r>
        <w:rPr>
          <w:sz w:val="20"/>
        </w:rPr>
        <w:t>Obstet</w:t>
      </w:r>
      <w:proofErr w:type="spellEnd"/>
      <w:r>
        <w:rPr>
          <w:sz w:val="20"/>
        </w:rPr>
        <w:t xml:space="preserve"> </w:t>
      </w:r>
      <w:proofErr w:type="spellStart"/>
      <w:r>
        <w:rPr>
          <w:sz w:val="20"/>
        </w:rPr>
        <w:t>Gynecol</w:t>
      </w:r>
      <w:proofErr w:type="spellEnd"/>
      <w:r>
        <w:rPr>
          <w:sz w:val="20"/>
        </w:rPr>
        <w:t xml:space="preserve"> 204:427.e1-6. E</w:t>
      </w:r>
      <w:r>
        <w:rPr>
          <w:sz w:val="20"/>
        </w:rPr>
        <w:t>n línea:</w:t>
      </w:r>
      <w:hyperlink r:id="rId23">
        <w:r>
          <w:rPr>
            <w:sz w:val="20"/>
          </w:rPr>
          <w:t xml:space="preserve"> http://dx.doi.org/10.1016/j.ajog.2010.12.058</w:t>
        </w:r>
      </w:hyperlink>
    </w:p>
    <w:p w:rsidR="000259E6" w:rsidRDefault="006C0149">
      <w:pPr>
        <w:pStyle w:val="Prrafodelista"/>
        <w:numPr>
          <w:ilvl w:val="0"/>
          <w:numId w:val="1"/>
        </w:numPr>
        <w:tabs>
          <w:tab w:val="left" w:pos="461"/>
        </w:tabs>
        <w:spacing w:line="276" w:lineRule="auto"/>
        <w:ind w:right="738"/>
        <w:rPr>
          <w:sz w:val="20"/>
        </w:rPr>
      </w:pPr>
      <w:proofErr w:type="spellStart"/>
      <w:r w:rsidRPr="00C04C94">
        <w:rPr>
          <w:sz w:val="20"/>
          <w:lang w:val="en-US"/>
        </w:rPr>
        <w:t>Mulcahy</w:t>
      </w:r>
      <w:proofErr w:type="spellEnd"/>
      <w:r w:rsidRPr="00C04C94">
        <w:rPr>
          <w:sz w:val="20"/>
          <w:lang w:val="en-US"/>
        </w:rPr>
        <w:t xml:space="preserve"> N. (2011). IUDs Reduce Risk for Cervical Cancer. </w:t>
      </w:r>
      <w:proofErr w:type="spellStart"/>
      <w:r>
        <w:rPr>
          <w:sz w:val="20"/>
        </w:rPr>
        <w:t>Medscape</w:t>
      </w:r>
      <w:proofErr w:type="spellEnd"/>
      <w:r>
        <w:rPr>
          <w:sz w:val="20"/>
        </w:rPr>
        <w:t xml:space="preserve"> Medical News. En</w:t>
      </w:r>
      <w:r>
        <w:rPr>
          <w:spacing w:val="-27"/>
          <w:sz w:val="20"/>
        </w:rPr>
        <w:t xml:space="preserve"> </w:t>
      </w:r>
      <w:r>
        <w:rPr>
          <w:sz w:val="20"/>
        </w:rPr>
        <w:t>línea:</w:t>
      </w:r>
      <w:hyperlink r:id="rId24">
        <w:r>
          <w:rPr>
            <w:sz w:val="20"/>
          </w:rPr>
          <w:t xml:space="preserve"> http://www.medscape.com/viewarticle/749595</w:t>
        </w:r>
      </w:hyperlink>
    </w:p>
    <w:p w:rsidR="000259E6" w:rsidRDefault="006C0149">
      <w:pPr>
        <w:pStyle w:val="Prrafodelista"/>
        <w:numPr>
          <w:ilvl w:val="0"/>
          <w:numId w:val="1"/>
        </w:numPr>
        <w:tabs>
          <w:tab w:val="left" w:pos="461"/>
        </w:tabs>
        <w:spacing w:line="276" w:lineRule="auto"/>
        <w:ind w:right="128"/>
        <w:rPr>
          <w:sz w:val="20"/>
        </w:rPr>
      </w:pPr>
      <w:r>
        <w:rPr>
          <w:sz w:val="20"/>
        </w:rPr>
        <w:t xml:space="preserve">OMS. (2015) </w:t>
      </w:r>
      <w:proofErr w:type="spellStart"/>
      <w:r>
        <w:rPr>
          <w:sz w:val="20"/>
        </w:rPr>
        <w:t>Papilomavirus</w:t>
      </w:r>
      <w:proofErr w:type="spellEnd"/>
      <w:r>
        <w:rPr>
          <w:sz w:val="20"/>
        </w:rPr>
        <w:t xml:space="preserve"> humanos (PVH) y cáncer </w:t>
      </w:r>
      <w:proofErr w:type="spellStart"/>
      <w:r>
        <w:rPr>
          <w:sz w:val="20"/>
        </w:rPr>
        <w:t>cervico</w:t>
      </w:r>
      <w:proofErr w:type="spellEnd"/>
      <w:r>
        <w:rPr>
          <w:sz w:val="20"/>
        </w:rPr>
        <w:t>-uterino. Nota descriptiva N°380. Centro de prensa. En línea:</w:t>
      </w:r>
      <w:r>
        <w:rPr>
          <w:spacing w:val="-8"/>
          <w:sz w:val="20"/>
        </w:rPr>
        <w:t xml:space="preserve"> </w:t>
      </w:r>
      <w:hyperlink r:id="rId25">
        <w:r>
          <w:rPr>
            <w:sz w:val="20"/>
          </w:rPr>
          <w:t>http://www</w:t>
        </w:r>
        <w:r>
          <w:rPr>
            <w:sz w:val="20"/>
          </w:rPr>
          <w:t>.who.int/mediacentre/factsheets/fs380/es/</w:t>
        </w:r>
      </w:hyperlink>
    </w:p>
    <w:p w:rsidR="000259E6" w:rsidRDefault="000259E6">
      <w:pPr>
        <w:spacing w:line="276" w:lineRule="auto"/>
        <w:rPr>
          <w:sz w:val="20"/>
        </w:rPr>
        <w:sectPr w:rsidR="000259E6">
          <w:type w:val="continuous"/>
          <w:pgSz w:w="12240" w:h="15840"/>
          <w:pgMar w:top="1360" w:right="1320" w:bottom="1080" w:left="1340" w:header="720" w:footer="720" w:gutter="0"/>
          <w:cols w:space="720"/>
        </w:sectPr>
      </w:pPr>
    </w:p>
    <w:p w:rsidR="000259E6" w:rsidRPr="00C04C94" w:rsidRDefault="006C0149">
      <w:pPr>
        <w:pStyle w:val="Prrafodelista"/>
        <w:numPr>
          <w:ilvl w:val="0"/>
          <w:numId w:val="1"/>
        </w:numPr>
        <w:tabs>
          <w:tab w:val="left" w:pos="461"/>
        </w:tabs>
        <w:spacing w:before="91" w:line="276" w:lineRule="auto"/>
        <w:ind w:right="364"/>
        <w:rPr>
          <w:sz w:val="20"/>
          <w:lang w:val="en-US"/>
        </w:rPr>
      </w:pPr>
      <w:proofErr w:type="spellStart"/>
      <w:r w:rsidRPr="00C04C94">
        <w:rPr>
          <w:sz w:val="20"/>
          <w:lang w:val="en-US"/>
        </w:rPr>
        <w:lastRenderedPageBreak/>
        <w:t>Petry</w:t>
      </w:r>
      <w:proofErr w:type="spellEnd"/>
      <w:r w:rsidRPr="00C04C94">
        <w:rPr>
          <w:sz w:val="20"/>
          <w:lang w:val="en-US"/>
        </w:rPr>
        <w:t xml:space="preserve"> KU. (2011). Loops in the natural history of cervical cancer. The Lancet Oncology.</w:t>
      </w:r>
      <w:r w:rsidRPr="00C04C94">
        <w:rPr>
          <w:spacing w:val="-39"/>
          <w:sz w:val="20"/>
          <w:lang w:val="en-US"/>
        </w:rPr>
        <w:t xml:space="preserve"> </w:t>
      </w:r>
      <w:r w:rsidRPr="00C04C94">
        <w:rPr>
          <w:sz w:val="20"/>
          <w:lang w:val="en-US"/>
        </w:rPr>
        <w:t>12(11):986. En Linea: DOI:</w:t>
      </w:r>
      <w:r w:rsidRPr="00C04C94">
        <w:rPr>
          <w:spacing w:val="-1"/>
          <w:sz w:val="20"/>
          <w:lang w:val="en-US"/>
        </w:rPr>
        <w:t xml:space="preserve"> </w:t>
      </w:r>
      <w:hyperlink r:id="rId26">
        <w:r w:rsidRPr="00C04C94">
          <w:rPr>
            <w:sz w:val="20"/>
            <w:lang w:val="en-US"/>
          </w:rPr>
          <w:t>http://dx.doi.org/10</w:t>
        </w:r>
        <w:r w:rsidRPr="00C04C94">
          <w:rPr>
            <w:sz w:val="20"/>
            <w:lang w:val="en-US"/>
          </w:rPr>
          <w:t>.1016/S1470-2045(11)70255-8</w:t>
        </w:r>
      </w:hyperlink>
    </w:p>
    <w:p w:rsidR="000259E6" w:rsidRDefault="006C0149">
      <w:pPr>
        <w:pStyle w:val="Prrafodelista"/>
        <w:numPr>
          <w:ilvl w:val="0"/>
          <w:numId w:val="1"/>
        </w:numPr>
        <w:tabs>
          <w:tab w:val="left" w:pos="461"/>
        </w:tabs>
        <w:spacing w:line="276" w:lineRule="auto"/>
        <w:ind w:right="141"/>
        <w:rPr>
          <w:sz w:val="20"/>
        </w:rPr>
      </w:pPr>
      <w:proofErr w:type="spellStart"/>
      <w:r w:rsidRPr="00C04C94">
        <w:rPr>
          <w:sz w:val="20"/>
          <w:lang w:val="en-US"/>
        </w:rPr>
        <w:t>Schiffman</w:t>
      </w:r>
      <w:proofErr w:type="spellEnd"/>
      <w:r w:rsidRPr="00C04C94">
        <w:rPr>
          <w:sz w:val="20"/>
          <w:lang w:val="en-US"/>
        </w:rPr>
        <w:t xml:space="preserve"> M. et al. (2007). Human papillomavirus and cervical cancer. </w:t>
      </w:r>
      <w:proofErr w:type="spellStart"/>
      <w:r>
        <w:rPr>
          <w:sz w:val="20"/>
        </w:rPr>
        <w:t>Lancet</w:t>
      </w:r>
      <w:proofErr w:type="spellEnd"/>
      <w:r>
        <w:rPr>
          <w:sz w:val="20"/>
        </w:rPr>
        <w:t xml:space="preserve">. 370(9590):890907. En </w:t>
      </w:r>
      <w:proofErr w:type="spellStart"/>
      <w:r>
        <w:rPr>
          <w:sz w:val="20"/>
        </w:rPr>
        <w:t>Linea</w:t>
      </w:r>
      <w:proofErr w:type="spellEnd"/>
      <w:r>
        <w:rPr>
          <w:sz w:val="20"/>
        </w:rPr>
        <w:t xml:space="preserve">: </w:t>
      </w:r>
      <w:proofErr w:type="spellStart"/>
      <w:r>
        <w:rPr>
          <w:sz w:val="20"/>
        </w:rPr>
        <w:t>doi</w:t>
      </w:r>
      <w:proofErr w:type="spellEnd"/>
      <w:r>
        <w:rPr>
          <w:sz w:val="20"/>
        </w:rPr>
        <w:t>:</w:t>
      </w:r>
      <w:r>
        <w:rPr>
          <w:spacing w:val="54"/>
          <w:sz w:val="20"/>
        </w:rPr>
        <w:t xml:space="preserve"> </w:t>
      </w:r>
      <w:r>
        <w:rPr>
          <w:sz w:val="20"/>
        </w:rPr>
        <w:t>10.1128/CMR.16.1.1-17.2003</w:t>
      </w:r>
    </w:p>
    <w:p w:rsidR="000259E6" w:rsidRPr="00C04C94" w:rsidRDefault="006C0149">
      <w:pPr>
        <w:pStyle w:val="Prrafodelista"/>
        <w:numPr>
          <w:ilvl w:val="0"/>
          <w:numId w:val="1"/>
        </w:numPr>
        <w:tabs>
          <w:tab w:val="left" w:pos="461"/>
        </w:tabs>
        <w:spacing w:line="278" w:lineRule="auto"/>
        <w:ind w:right="127"/>
        <w:rPr>
          <w:sz w:val="20"/>
          <w:lang w:val="en-US"/>
        </w:rPr>
      </w:pPr>
      <w:r w:rsidRPr="00C04C94">
        <w:rPr>
          <w:sz w:val="20"/>
          <w:lang w:val="en-US"/>
        </w:rPr>
        <w:t>Scott, M. E. et al. (2013). Cervical Cytokines and Clearance of Incident Human Papillomavirus Infection: Hawaii HPV Cohort Study. International Journal of Cancer. Journal International Du</w:t>
      </w:r>
      <w:r w:rsidRPr="00C04C94">
        <w:rPr>
          <w:spacing w:val="-31"/>
          <w:sz w:val="20"/>
          <w:lang w:val="en-US"/>
        </w:rPr>
        <w:t xml:space="preserve"> </w:t>
      </w:r>
      <w:r w:rsidRPr="00C04C94">
        <w:rPr>
          <w:sz w:val="20"/>
          <w:lang w:val="en-US"/>
        </w:rPr>
        <w:t>Cancer, 133(5), 1187–1196.</w:t>
      </w:r>
      <w:r w:rsidRPr="00C04C94">
        <w:rPr>
          <w:spacing w:val="-1"/>
          <w:sz w:val="20"/>
          <w:lang w:val="en-US"/>
        </w:rPr>
        <w:t xml:space="preserve"> </w:t>
      </w:r>
      <w:hyperlink r:id="rId27">
        <w:r w:rsidRPr="00C04C94">
          <w:rPr>
            <w:sz w:val="20"/>
            <w:lang w:val="en-US"/>
          </w:rPr>
          <w:t>http://doi.org/10.1002/ijc.28119</w:t>
        </w:r>
      </w:hyperlink>
    </w:p>
    <w:p w:rsidR="000259E6" w:rsidRPr="00C04C94" w:rsidRDefault="006C0149">
      <w:pPr>
        <w:pStyle w:val="Prrafodelista"/>
        <w:numPr>
          <w:ilvl w:val="0"/>
          <w:numId w:val="1"/>
        </w:numPr>
        <w:tabs>
          <w:tab w:val="left" w:pos="461"/>
        </w:tabs>
        <w:spacing w:line="276" w:lineRule="auto"/>
        <w:ind w:right="331"/>
        <w:rPr>
          <w:sz w:val="20"/>
          <w:lang w:val="en-US"/>
        </w:rPr>
      </w:pPr>
      <w:proofErr w:type="spellStart"/>
      <w:r w:rsidRPr="00C04C94">
        <w:rPr>
          <w:sz w:val="20"/>
          <w:lang w:val="en-US"/>
        </w:rPr>
        <w:t>Trottier</w:t>
      </w:r>
      <w:proofErr w:type="spellEnd"/>
      <w:r w:rsidRPr="00C04C94">
        <w:rPr>
          <w:sz w:val="20"/>
          <w:lang w:val="en-US"/>
        </w:rPr>
        <w:t xml:space="preserve"> H, Franco E. (2006). Human papillomavirus and cervical cancer: burden of illness and</w:t>
      </w:r>
      <w:r w:rsidRPr="00C04C94">
        <w:rPr>
          <w:spacing w:val="-39"/>
          <w:sz w:val="20"/>
          <w:lang w:val="en-US"/>
        </w:rPr>
        <w:t xml:space="preserve"> </w:t>
      </w:r>
      <w:r w:rsidRPr="00C04C94">
        <w:rPr>
          <w:sz w:val="20"/>
          <w:lang w:val="en-US"/>
        </w:rPr>
        <w:t xml:space="preserve">basis for prevention. Am J </w:t>
      </w:r>
      <w:proofErr w:type="spellStart"/>
      <w:r w:rsidRPr="00C04C94">
        <w:rPr>
          <w:sz w:val="20"/>
          <w:lang w:val="en-US"/>
        </w:rPr>
        <w:t>Manag</w:t>
      </w:r>
      <w:proofErr w:type="spellEnd"/>
      <w:r w:rsidRPr="00C04C94">
        <w:rPr>
          <w:sz w:val="20"/>
          <w:lang w:val="en-US"/>
        </w:rPr>
        <w:t xml:space="preserve"> Care. 12 17 Suppl</w:t>
      </w:r>
      <w:proofErr w:type="gramStart"/>
      <w:r w:rsidRPr="00C04C94">
        <w:rPr>
          <w:sz w:val="20"/>
          <w:lang w:val="en-US"/>
        </w:rPr>
        <w:t>:S462</w:t>
      </w:r>
      <w:proofErr w:type="gramEnd"/>
      <w:r w:rsidRPr="00C04C94">
        <w:rPr>
          <w:sz w:val="20"/>
          <w:lang w:val="en-US"/>
        </w:rPr>
        <w:t xml:space="preserve">-72. En </w:t>
      </w:r>
      <w:proofErr w:type="spellStart"/>
      <w:r w:rsidRPr="00C04C94">
        <w:rPr>
          <w:sz w:val="20"/>
          <w:lang w:val="en-US"/>
        </w:rPr>
        <w:t>línea</w:t>
      </w:r>
      <w:proofErr w:type="spellEnd"/>
      <w:r w:rsidRPr="00C04C94">
        <w:rPr>
          <w:sz w:val="20"/>
          <w:lang w:val="en-US"/>
        </w:rPr>
        <w:t>: https:/</w:t>
      </w:r>
      <w:hyperlink r:id="rId28">
        <w:r w:rsidRPr="00C04C94">
          <w:rPr>
            <w:sz w:val="20"/>
            <w:lang w:val="en-US"/>
          </w:rPr>
          <w:t>/www.ncb</w:t>
        </w:r>
      </w:hyperlink>
      <w:r w:rsidRPr="00C04C94">
        <w:rPr>
          <w:sz w:val="20"/>
          <w:lang w:val="en-US"/>
        </w:rPr>
        <w:t>i</w:t>
      </w:r>
      <w:hyperlink r:id="rId29">
        <w:r w:rsidRPr="00C04C94">
          <w:rPr>
            <w:sz w:val="20"/>
            <w:lang w:val="en-US"/>
          </w:rPr>
          <w:t>.nlm.nih.gov/pubmed/17203990.</w:t>
        </w:r>
      </w:hyperlink>
    </w:p>
    <w:p w:rsidR="000259E6" w:rsidRDefault="006C0149">
      <w:pPr>
        <w:tabs>
          <w:tab w:val="left" w:pos="6570"/>
        </w:tabs>
        <w:spacing w:before="193"/>
        <w:ind w:left="100"/>
        <w:rPr>
          <w:sz w:val="20"/>
        </w:rPr>
      </w:pPr>
      <w:r>
        <w:rPr>
          <w:sz w:val="20"/>
        </w:rPr>
        <w:t>Recepción: 1 Octubre de 2017</w:t>
      </w:r>
      <w:r>
        <w:rPr>
          <w:sz w:val="20"/>
        </w:rPr>
        <w:tab/>
        <w:t>Aprobación: 10 Octubre de</w:t>
      </w:r>
      <w:r>
        <w:rPr>
          <w:spacing w:val="-6"/>
          <w:sz w:val="20"/>
        </w:rPr>
        <w:t xml:space="preserve"> </w:t>
      </w:r>
      <w:r>
        <w:rPr>
          <w:sz w:val="20"/>
        </w:rPr>
        <w:t>2017</w:t>
      </w:r>
    </w:p>
    <w:sectPr w:rsidR="000259E6">
      <w:pgSz w:w="12240" w:h="15840"/>
      <w:pgMar w:top="1340" w:right="1320" w:bottom="1060" w:left="1340" w:header="723" w:footer="8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C0149">
      <w:r>
        <w:separator/>
      </w:r>
    </w:p>
  </w:endnote>
  <w:endnote w:type="continuationSeparator" w:id="0">
    <w:p w:rsidR="00000000" w:rsidRDefault="006C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E6" w:rsidRDefault="006C0149">
    <w:pPr>
      <w:pStyle w:val="Textoindependiente"/>
      <w:spacing w:line="14" w:lineRule="auto"/>
      <w:ind w:left="0"/>
      <w:jc w:val="left"/>
      <w:rPr>
        <w:sz w:val="20"/>
      </w:rPr>
    </w:pPr>
    <w:r>
      <w:pict>
        <v:group id="_x0000_s2065" style="position:absolute;margin-left:36.65pt;margin-top:734.3pt;width:502.65pt;height:25.2pt;z-index:-6976;mso-position-horizontal-relative:page;mso-position-vertical-relative:page" coordorigin="733,14686" coordsize="10053,504">
          <v:rect id="_x0000_s2069" style="position:absolute;left:733;top:14686;width:720;height:504" fillcolor="#36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764;top:14788;width:660;height:300">
            <v:imagedata r:id="rId1" o:title=""/>
          </v:shape>
          <v:line id="_x0000_s2067" style="position:absolute" from="1470,14703" to="10785,14703" strokecolor="#36c" strokeweight=".51678mm"/>
          <v:shape id="_x0000_s2066" type="#_x0000_t75" style="position:absolute;left:1444;top:14868;width:9308;height:320">
            <v:imagedata r:id="rId2" o:title=""/>
          </v:shape>
          <w10:wrap anchorx="page" anchory="page"/>
        </v:group>
      </w:pict>
    </w:r>
    <w:r>
      <w:pict>
        <v:shapetype id="_x0000_t202" coordsize="21600,21600" o:spt="202" path="m,l,21600r21600,l21600,xe">
          <v:stroke joinstyle="miter"/>
          <v:path gradientshapeok="t" o:connecttype="rect"/>
        </v:shapetype>
        <v:shape id="_x0000_s2064" type="#_x0000_t202" style="position:absolute;margin-left:47.85pt;margin-top:741.3pt;width:18.3pt;height:16pt;z-index:-6952;mso-position-horizontal-relative:page;mso-position-vertical-relative:page" filled="f" stroked="f">
          <v:textbox inset="0,0,0,0">
            <w:txbxContent>
              <w:p w:rsidR="000259E6" w:rsidRDefault="006C0149">
                <w:pPr>
                  <w:spacing w:line="289" w:lineRule="exact"/>
                  <w:ind w:left="40"/>
                  <w:rPr>
                    <w:sz w:val="28"/>
                  </w:rPr>
                </w:pPr>
                <w:r>
                  <w:fldChar w:fldCharType="begin"/>
                </w:r>
                <w:r>
                  <w:rPr>
                    <w:color w:val="FFFFFF"/>
                    <w:sz w:val="28"/>
                  </w:rPr>
                  <w:instrText xml:space="preserve"> PAGE </w:instrText>
                </w:r>
                <w:r>
                  <w:fldChar w:fldCharType="separate"/>
                </w:r>
                <w:r w:rsidR="00C04C94">
                  <w:rPr>
                    <w:noProof/>
                    <w:color w:val="FFFFFF"/>
                    <w:sz w:val="28"/>
                  </w:rPr>
                  <w:t>10</w:t>
                </w:r>
                <w:r>
                  <w:fldChar w:fldCharType="end"/>
                </w:r>
              </w:p>
            </w:txbxContent>
          </v:textbox>
          <w10:wrap anchorx="page" anchory="page"/>
        </v:shape>
      </w:pict>
    </w:r>
    <w:r>
      <w:pict>
        <v:shape id="_x0000_s2063" type="#_x0000_t202" style="position:absolute;margin-left:236.25pt;margin-top:742.75pt;width:136.85pt;height:13.2pt;z-index:-6928;mso-position-horizontal-relative:page;mso-position-vertical-relative:page" filled="f" stroked="f">
          <v:textbox inset="0,0,0,0">
            <w:txbxContent>
              <w:p w:rsidR="000259E6" w:rsidRDefault="006C0149">
                <w:pPr>
                  <w:spacing w:before="13"/>
                  <w:ind w:left="20"/>
                  <w:rPr>
                    <w:i/>
                    <w:sz w:val="20"/>
                  </w:rPr>
                </w:pPr>
                <w:r>
                  <w:rPr>
                    <w:i/>
                    <w:color w:val="3166CC"/>
                    <w:sz w:val="20"/>
                  </w:rPr>
                  <w:t>REVISTA MEDICA SINERGIA</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E6" w:rsidRDefault="006C0149">
    <w:pPr>
      <w:pStyle w:val="Textoindependiente"/>
      <w:spacing w:line="14" w:lineRule="auto"/>
      <w:ind w:left="0"/>
      <w:jc w:val="left"/>
      <w:rPr>
        <w:sz w:val="20"/>
      </w:rPr>
    </w:pPr>
    <w:r>
      <w:rPr>
        <w:noProof/>
        <w:lang w:val="es-ES" w:eastAsia="es-ES" w:bidi="ar-SA"/>
      </w:rPr>
      <w:drawing>
        <wp:anchor distT="0" distB="0" distL="0" distR="0" simplePos="0" relativeHeight="268428359" behindDoc="1" locked="0" layoutInCell="1" allowOverlap="1">
          <wp:simplePos x="0" y="0"/>
          <wp:positionH relativeFrom="page">
            <wp:posOffset>916939</wp:posOffset>
          </wp:positionH>
          <wp:positionV relativeFrom="page">
            <wp:posOffset>9441180</wp:posOffset>
          </wp:positionV>
          <wp:extent cx="5890260" cy="203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890260" cy="203200"/>
                  </a:xfrm>
                  <a:prstGeom prst="rect">
                    <a:avLst/>
                  </a:prstGeom>
                </pic:spPr>
              </pic:pic>
            </a:graphicData>
          </a:graphic>
        </wp:anchor>
      </w:drawing>
    </w:r>
    <w:r>
      <w:rPr>
        <w:noProof/>
        <w:lang w:val="es-ES" w:eastAsia="es-ES" w:bidi="ar-SA"/>
      </w:rPr>
      <w:drawing>
        <wp:anchor distT="0" distB="0" distL="0" distR="0" simplePos="0" relativeHeight="268428383" behindDoc="1" locked="0" layoutInCell="1" allowOverlap="1">
          <wp:simplePos x="0" y="0"/>
          <wp:positionH relativeFrom="page">
            <wp:posOffset>6870700</wp:posOffset>
          </wp:positionH>
          <wp:positionV relativeFrom="page">
            <wp:posOffset>9385300</wp:posOffset>
          </wp:positionV>
          <wp:extent cx="419100" cy="190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419100" cy="190500"/>
                  </a:xfrm>
                  <a:prstGeom prst="rect">
                    <a:avLst/>
                  </a:prstGeom>
                </pic:spPr>
              </pic:pic>
            </a:graphicData>
          </a:graphic>
        </wp:anchor>
      </w:drawing>
    </w:r>
    <w:r>
      <w:pict>
        <v:group id="_x0000_s2072" style="position:absolute;margin-left:73pt;margin-top:733.9pt;width:465.3pt;height:2.5pt;z-index:-7048;mso-position-horizontal-relative:page;mso-position-vertical-relative:page" coordorigin="1460,14678" coordsize="9306,50">
          <v:rect id="_x0000_s2074" style="position:absolute;left:1469;top:14688;width:9286;height:30" fillcolor="#36c" stroked="f"/>
          <v:rect id="_x0000_s2073" style="position:absolute;left:1459;top:14678;width:9306;height:50" fillcolor="#006fc0" stroked="f"/>
          <w10:wrap anchorx="page" anchory="page"/>
        </v:group>
      </w:pict>
    </w:r>
    <w:r>
      <w:pict>
        <v:shapetype id="_x0000_t202" coordsize="21600,21600" o:spt="202" path="m,l,21600r21600,l21600,xe">
          <v:stroke joinstyle="miter"/>
          <v:path gradientshapeok="t" o:connecttype="rect"/>
        </v:shapetype>
        <v:shape id="_x0000_s2071" type="#_x0000_t202" style="position:absolute;margin-left:538.5pt;margin-top:740.9pt;width:39pt;height:16pt;z-index:-7024;mso-position-horizontal-relative:page;mso-position-vertical-relative:page" filled="f" stroked="f">
          <v:textbox inset="0,0,0,0">
            <w:txbxContent>
              <w:p w:rsidR="000259E6" w:rsidRDefault="006C0149">
                <w:pPr>
                  <w:tabs>
                    <w:tab w:val="left" w:pos="429"/>
                  </w:tabs>
                  <w:spacing w:line="289" w:lineRule="exact"/>
                  <w:ind w:left="20"/>
                  <w:rPr>
                    <w:sz w:val="28"/>
                  </w:rPr>
                </w:pPr>
                <w:r>
                  <w:rPr>
                    <w:color w:val="FFFFFF"/>
                    <w:w w:val="81"/>
                    <w:sz w:val="28"/>
                    <w:shd w:val="clear" w:color="auto" w:fill="3366CC"/>
                  </w:rPr>
                  <w:t xml:space="preserve"> </w:t>
                </w:r>
                <w:r>
                  <w:rPr>
                    <w:color w:val="FFFFFF"/>
                    <w:sz w:val="28"/>
                    <w:shd w:val="clear" w:color="auto" w:fill="3366CC"/>
                  </w:rPr>
                  <w:tab/>
                </w:r>
                <w:r>
                  <w:fldChar w:fldCharType="begin"/>
                </w:r>
                <w:r>
                  <w:rPr>
                    <w:color w:val="FFFFFF"/>
                    <w:sz w:val="28"/>
                    <w:shd w:val="clear" w:color="auto" w:fill="3366CC"/>
                  </w:rPr>
                  <w:instrText xml:space="preserve"> PAGE </w:instrText>
                </w:r>
                <w:r>
                  <w:fldChar w:fldCharType="separate"/>
                </w:r>
                <w:r w:rsidR="00C04C94">
                  <w:rPr>
                    <w:noProof/>
                    <w:color w:val="FFFFFF"/>
                    <w:sz w:val="28"/>
                    <w:shd w:val="clear" w:color="auto" w:fill="3366CC"/>
                  </w:rPr>
                  <w:t>7</w:t>
                </w:r>
                <w:r>
                  <w:fldChar w:fldCharType="end"/>
                </w:r>
                <w:r>
                  <w:rPr>
                    <w:color w:val="FFFFFF"/>
                    <w:spacing w:val="13"/>
                    <w:sz w:val="28"/>
                    <w:shd w:val="clear" w:color="auto" w:fill="3366CC"/>
                  </w:rPr>
                  <w:t xml:space="preserve"> </w:t>
                </w:r>
              </w:p>
            </w:txbxContent>
          </v:textbox>
          <w10:wrap anchorx="page" anchory="page"/>
        </v:shape>
      </w:pict>
    </w:r>
    <w:r>
      <w:pict>
        <v:shape id="_x0000_s2070" type="#_x0000_t202" style="position:absolute;margin-left:171.65pt;margin-top:742.75pt;width:265.2pt;height:13.2pt;z-index:-7000;mso-position-horizontal-relative:page;mso-position-vertical-relative:page" filled="f" stroked="f">
          <v:textbox inset="0,0,0,0">
            <w:txbxContent>
              <w:p w:rsidR="000259E6" w:rsidRDefault="006C0149">
                <w:pPr>
                  <w:spacing w:before="13"/>
                  <w:ind w:left="20"/>
                  <w:rPr>
                    <w:i/>
                    <w:sz w:val="20"/>
                  </w:rPr>
                </w:pPr>
                <w:r>
                  <w:rPr>
                    <w:i/>
                    <w:color w:val="2E5395"/>
                    <w:sz w:val="20"/>
                  </w:rPr>
                  <w:t>REVISTA MEDICA SINERGIA Vol. 2 (11), Noviembre 2017</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E6" w:rsidRDefault="006C0149">
    <w:pPr>
      <w:pStyle w:val="Textoindependiente"/>
      <w:spacing w:line="14" w:lineRule="auto"/>
      <w:ind w:left="0"/>
      <w:jc w:val="left"/>
      <w:rPr>
        <w:sz w:val="20"/>
      </w:rPr>
    </w:pPr>
    <w:r>
      <w:pict>
        <v:group id="_x0000_s2051" style="position:absolute;margin-left:36.65pt;margin-top:734.3pt;width:502.65pt;height:25.2pt;z-index:-6736;mso-position-horizontal-relative:page;mso-position-vertical-relative:page" coordorigin="733,14686" coordsize="10053,504">
          <v:rect id="_x0000_s2055" style="position:absolute;left:733;top:14686;width:720;height:504" fillcolor="#36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764;top:14788;width:660;height:300">
            <v:imagedata r:id="rId1" o:title=""/>
          </v:shape>
          <v:line id="_x0000_s2053" style="position:absolute" from="1470,14703" to="10785,14703" strokecolor="#36c" strokeweight=".51678mm"/>
          <v:shape id="_x0000_s2052" type="#_x0000_t75" style="position:absolute;left:1444;top:14868;width:9308;height:320">
            <v:imagedata r:id="rId2" o:title=""/>
          </v:shape>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47.85pt;margin-top:741.3pt;width:18pt;height:16pt;z-index:-6712;mso-position-horizontal-relative:page;mso-position-vertical-relative:page" filled="f" stroked="f">
          <v:textbox inset="0,0,0,0">
            <w:txbxContent>
              <w:p w:rsidR="000259E6" w:rsidRDefault="006C0149">
                <w:pPr>
                  <w:spacing w:line="289" w:lineRule="exact"/>
                  <w:ind w:left="40"/>
                  <w:rPr>
                    <w:sz w:val="28"/>
                  </w:rPr>
                </w:pPr>
                <w:r>
                  <w:fldChar w:fldCharType="begin"/>
                </w:r>
                <w:r>
                  <w:rPr>
                    <w:color w:val="FFFFFF"/>
                    <w:w w:val="95"/>
                    <w:sz w:val="28"/>
                  </w:rPr>
                  <w:instrText xml:space="preserve"> PAGE </w:instrText>
                </w:r>
                <w:r>
                  <w:fldChar w:fldCharType="separate"/>
                </w:r>
                <w:r w:rsidR="00C04C94">
                  <w:rPr>
                    <w:noProof/>
                    <w:color w:val="FFFFFF"/>
                    <w:w w:val="95"/>
                    <w:sz w:val="28"/>
                  </w:rPr>
                  <w:t>12</w:t>
                </w:r>
                <w:r>
                  <w:fldChar w:fldCharType="end"/>
                </w:r>
              </w:p>
            </w:txbxContent>
          </v:textbox>
          <w10:wrap anchorx="page" anchory="page"/>
        </v:shape>
      </w:pict>
    </w:r>
    <w:r>
      <w:pict>
        <v:shape id="_x0000_s2049" type="#_x0000_t202" style="position:absolute;margin-left:236.25pt;margin-top:742.75pt;width:136.85pt;height:13.2pt;z-index:-6688;mso-position-horizontal-relative:page;mso-position-vertical-relative:page" filled="f" stroked="f">
          <v:textbox inset="0,0,0,0">
            <w:txbxContent>
              <w:p w:rsidR="000259E6" w:rsidRDefault="006C0149">
                <w:pPr>
                  <w:spacing w:before="13"/>
                  <w:ind w:left="20"/>
                  <w:rPr>
                    <w:i/>
                    <w:sz w:val="20"/>
                  </w:rPr>
                </w:pPr>
                <w:r>
                  <w:rPr>
                    <w:i/>
                    <w:color w:val="3166CC"/>
                    <w:sz w:val="20"/>
                  </w:rPr>
                  <w:t>REVISTA MEDICA SINERGIA</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E6" w:rsidRDefault="006C0149">
    <w:pPr>
      <w:pStyle w:val="Textoindependiente"/>
      <w:spacing w:line="14" w:lineRule="auto"/>
      <w:ind w:left="0"/>
      <w:jc w:val="left"/>
      <w:rPr>
        <w:sz w:val="20"/>
      </w:rPr>
    </w:pPr>
    <w:r>
      <w:rPr>
        <w:noProof/>
        <w:lang w:val="es-ES" w:eastAsia="es-ES" w:bidi="ar-SA"/>
      </w:rPr>
      <w:drawing>
        <wp:anchor distT="0" distB="0" distL="0" distR="0" simplePos="0" relativeHeight="268428599" behindDoc="1" locked="0" layoutInCell="1" allowOverlap="1">
          <wp:simplePos x="0" y="0"/>
          <wp:positionH relativeFrom="page">
            <wp:posOffset>916939</wp:posOffset>
          </wp:positionH>
          <wp:positionV relativeFrom="page">
            <wp:posOffset>9441180</wp:posOffset>
          </wp:positionV>
          <wp:extent cx="5890260" cy="2032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890260" cy="203200"/>
                  </a:xfrm>
                  <a:prstGeom prst="rect">
                    <a:avLst/>
                  </a:prstGeom>
                </pic:spPr>
              </pic:pic>
            </a:graphicData>
          </a:graphic>
        </wp:anchor>
      </w:drawing>
    </w:r>
    <w:r>
      <w:rPr>
        <w:noProof/>
        <w:lang w:val="es-ES" w:eastAsia="es-ES" w:bidi="ar-SA"/>
      </w:rPr>
      <w:drawing>
        <wp:anchor distT="0" distB="0" distL="0" distR="0" simplePos="0" relativeHeight="268428623" behindDoc="1" locked="0" layoutInCell="1" allowOverlap="1">
          <wp:simplePos x="0" y="0"/>
          <wp:positionH relativeFrom="page">
            <wp:posOffset>6870700</wp:posOffset>
          </wp:positionH>
          <wp:positionV relativeFrom="page">
            <wp:posOffset>9385300</wp:posOffset>
          </wp:positionV>
          <wp:extent cx="419100" cy="19050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2" cstate="print"/>
                  <a:stretch>
                    <a:fillRect/>
                  </a:stretch>
                </pic:blipFill>
                <pic:spPr>
                  <a:xfrm>
                    <a:off x="0" y="0"/>
                    <a:ext cx="419100" cy="190500"/>
                  </a:xfrm>
                  <a:prstGeom prst="rect">
                    <a:avLst/>
                  </a:prstGeom>
                </pic:spPr>
              </pic:pic>
            </a:graphicData>
          </a:graphic>
        </wp:anchor>
      </w:drawing>
    </w:r>
    <w:r>
      <w:pict>
        <v:group id="_x0000_s2058" style="position:absolute;margin-left:73pt;margin-top:733.9pt;width:465.3pt;height:2.5pt;z-index:-6808;mso-position-horizontal-relative:page;mso-position-vertical-relative:page" coordorigin="1460,14678" coordsize="9306,50">
          <v:rect id="_x0000_s2060" style="position:absolute;left:1469;top:14688;width:9286;height:30" fillcolor="#36c" stroked="f"/>
          <v:rect id="_x0000_s2059" style="position:absolute;left:1459;top:14678;width:9306;height:50" fillcolor="#006fc0" stroked="f"/>
          <w10:wrap anchorx="page" anchory="page"/>
        </v:group>
      </w:pict>
    </w:r>
    <w:r>
      <w:pict>
        <v:shapetype id="_x0000_t202" coordsize="21600,21600" o:spt="202" path="m,l,21600r21600,l21600,xe">
          <v:stroke joinstyle="miter"/>
          <v:path gradientshapeok="t" o:connecttype="rect"/>
        </v:shapetype>
        <v:shape id="_x0000_s2057" type="#_x0000_t202" style="position:absolute;margin-left:538.5pt;margin-top:740.9pt;width:39pt;height:16pt;z-index:-6784;mso-position-horizontal-relative:page;mso-position-vertical-relative:page" filled="f" stroked="f">
          <v:textbox inset="0,0,0,0">
            <w:txbxContent>
              <w:p w:rsidR="000259E6" w:rsidRDefault="006C0149">
                <w:pPr>
                  <w:tabs>
                    <w:tab w:val="left" w:pos="285"/>
                  </w:tabs>
                  <w:spacing w:line="289" w:lineRule="exact"/>
                  <w:ind w:left="20"/>
                  <w:rPr>
                    <w:sz w:val="28"/>
                  </w:rPr>
                </w:pPr>
                <w:r>
                  <w:rPr>
                    <w:color w:val="FFFFFF"/>
                    <w:w w:val="81"/>
                    <w:sz w:val="28"/>
                    <w:shd w:val="clear" w:color="auto" w:fill="3366CC"/>
                  </w:rPr>
                  <w:t xml:space="preserve"> </w:t>
                </w:r>
                <w:r>
                  <w:rPr>
                    <w:color w:val="FFFFFF"/>
                    <w:sz w:val="28"/>
                    <w:shd w:val="clear" w:color="auto" w:fill="3366CC"/>
                  </w:rPr>
                  <w:tab/>
                </w:r>
                <w:r>
                  <w:fldChar w:fldCharType="begin"/>
                </w:r>
                <w:r>
                  <w:rPr>
                    <w:color w:val="FFFFFF"/>
                    <w:sz w:val="28"/>
                    <w:shd w:val="clear" w:color="auto" w:fill="3366CC"/>
                  </w:rPr>
                  <w:instrText xml:space="preserve"> PAGE </w:instrText>
                </w:r>
                <w:r>
                  <w:fldChar w:fldCharType="separate"/>
                </w:r>
                <w:r w:rsidR="00C04C94">
                  <w:rPr>
                    <w:noProof/>
                    <w:color w:val="FFFFFF"/>
                    <w:sz w:val="28"/>
                    <w:shd w:val="clear" w:color="auto" w:fill="3366CC"/>
                  </w:rPr>
                  <w:t>11</w:t>
                </w:r>
                <w:r>
                  <w:fldChar w:fldCharType="end"/>
                </w:r>
                <w:r>
                  <w:rPr>
                    <w:color w:val="FFFFFF"/>
                    <w:spacing w:val="16"/>
                    <w:sz w:val="28"/>
                    <w:shd w:val="clear" w:color="auto" w:fill="3366CC"/>
                  </w:rPr>
                  <w:t xml:space="preserve"> </w:t>
                </w:r>
              </w:p>
            </w:txbxContent>
          </v:textbox>
          <w10:wrap anchorx="page" anchory="page"/>
        </v:shape>
      </w:pict>
    </w:r>
    <w:r>
      <w:pict>
        <v:shape id="_x0000_s2056" type="#_x0000_t202" style="position:absolute;margin-left:171.65pt;margin-top:742.75pt;width:265.2pt;height:13.2pt;z-index:-6760;mso-position-horizontal-relative:page;mso-position-vertical-relative:page" filled="f" stroked="f">
          <v:textbox inset="0,0,0,0">
            <w:txbxContent>
              <w:p w:rsidR="000259E6" w:rsidRDefault="006C0149">
                <w:pPr>
                  <w:spacing w:before="13"/>
                  <w:ind w:left="20"/>
                  <w:rPr>
                    <w:i/>
                    <w:sz w:val="20"/>
                  </w:rPr>
                </w:pPr>
                <w:r>
                  <w:rPr>
                    <w:i/>
                    <w:color w:val="2E5395"/>
                    <w:sz w:val="20"/>
                  </w:rPr>
                  <w:t>REVISTA MEDICA SINERGIA Vol. 2 (11), Noviembre 2017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C0149">
      <w:r>
        <w:separator/>
      </w:r>
    </w:p>
  </w:footnote>
  <w:footnote w:type="continuationSeparator" w:id="0">
    <w:p w:rsidR="00000000" w:rsidRDefault="006C0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E6" w:rsidRDefault="006C0149">
    <w:pPr>
      <w:pStyle w:val="Textoindependiente"/>
      <w:spacing w:line="14" w:lineRule="auto"/>
      <w:ind w:left="0"/>
      <w:jc w:val="left"/>
      <w:rPr>
        <w:sz w:val="20"/>
      </w:rPr>
    </w:pPr>
    <w:r>
      <w:pict>
        <v:shapetype id="_x0000_t202" coordsize="21600,21600" o:spt="202" path="m,l,21600r21600,l21600,xe">
          <v:stroke joinstyle="miter"/>
          <v:path gradientshapeok="t" o:connecttype="rect"/>
        </v:shapetype>
        <v:shape id="_x0000_s2062" type="#_x0000_t202" style="position:absolute;margin-left:72.6pt;margin-top:35.15pt;width:468.9pt;height:26.4pt;z-index:-6904;mso-position-horizontal-relative:page;mso-position-vertical-relative:page" filled="f" stroked="f">
          <v:textbox inset="0,0,0,0">
            <w:txbxContent>
              <w:p w:rsidR="000259E6" w:rsidRDefault="006C0149">
                <w:pPr>
                  <w:spacing w:before="13"/>
                  <w:ind w:right="18"/>
                  <w:jc w:val="right"/>
                  <w:rPr>
                    <w:i/>
                    <w:sz w:val="20"/>
                  </w:rPr>
                </w:pPr>
                <w:r>
                  <w:rPr>
                    <w:i/>
                    <w:color w:val="2D74B5"/>
                    <w:sz w:val="20"/>
                  </w:rPr>
                  <w:t xml:space="preserve">RELACIÓN ENTRE EL DISPOSITIVO INTRAUTERINO Y LA NEOPLASIA CERVICAL </w:t>
                </w:r>
                <w:r>
                  <w:rPr>
                    <w:color w:val="2D74B5"/>
                    <w:sz w:val="20"/>
                  </w:rPr>
                  <w:t xml:space="preserve">- </w:t>
                </w:r>
                <w:r>
                  <w:rPr>
                    <w:i/>
                    <w:color w:val="2D74B5"/>
                    <w:sz w:val="20"/>
                  </w:rPr>
                  <w:t>Mónica</w:t>
                </w:r>
                <w:r>
                  <w:rPr>
                    <w:i/>
                    <w:color w:val="2D74B5"/>
                    <w:spacing w:val="-19"/>
                    <w:sz w:val="20"/>
                  </w:rPr>
                  <w:t xml:space="preserve"> </w:t>
                </w:r>
                <w:r>
                  <w:rPr>
                    <w:i/>
                    <w:color w:val="2D74B5"/>
                    <w:sz w:val="20"/>
                  </w:rPr>
                  <w:t>Sánchez</w:t>
                </w:r>
              </w:p>
              <w:p w:rsidR="000259E6" w:rsidRDefault="006C0149">
                <w:pPr>
                  <w:spacing w:before="35"/>
                  <w:ind w:right="24"/>
                  <w:jc w:val="right"/>
                  <w:rPr>
                    <w:i/>
                    <w:sz w:val="20"/>
                  </w:rPr>
                </w:pPr>
                <w:r>
                  <w:rPr>
                    <w:i/>
                    <w:color w:val="2D74B5"/>
                    <w:spacing w:val="-1"/>
                    <w:sz w:val="20"/>
                  </w:rPr>
                  <w:t>Villalobos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E6" w:rsidRDefault="006C0149">
    <w:pPr>
      <w:pStyle w:val="Textoindependiente"/>
      <w:spacing w:line="14" w:lineRule="auto"/>
      <w:ind w:left="0"/>
      <w:jc w:val="left"/>
      <w:rPr>
        <w:sz w:val="20"/>
      </w:rPr>
    </w:pPr>
    <w:r>
      <w:pict>
        <v:shapetype id="_x0000_t202" coordsize="21600,21600" o:spt="202" path="m,l,21600r21600,l21600,xe">
          <v:stroke joinstyle="miter"/>
          <v:path gradientshapeok="t" o:connecttype="rect"/>
        </v:shapetype>
        <v:shape id="_x0000_s2061" type="#_x0000_t202" style="position:absolute;margin-left:72.6pt;margin-top:35.15pt;width:468.9pt;height:26.4pt;z-index:-6880;mso-position-horizontal-relative:page;mso-position-vertical-relative:page" filled="f" stroked="f">
          <v:textbox inset="0,0,0,0">
            <w:txbxContent>
              <w:p w:rsidR="000259E6" w:rsidRDefault="006C0149">
                <w:pPr>
                  <w:spacing w:before="13"/>
                  <w:ind w:right="18"/>
                  <w:jc w:val="right"/>
                  <w:rPr>
                    <w:i/>
                    <w:sz w:val="20"/>
                  </w:rPr>
                </w:pPr>
                <w:r>
                  <w:rPr>
                    <w:i/>
                    <w:color w:val="2D74B5"/>
                    <w:sz w:val="20"/>
                  </w:rPr>
                  <w:t>RELACIÓN ENTRE EL DISPOSITIVO INTRAUTERINO Y LA NEOPLASIA CERVICAL - Mónica</w:t>
                </w:r>
                <w:r>
                  <w:rPr>
                    <w:i/>
                    <w:color w:val="2D74B5"/>
                    <w:spacing w:val="-18"/>
                    <w:sz w:val="20"/>
                  </w:rPr>
                  <w:t xml:space="preserve"> </w:t>
                </w:r>
                <w:r>
                  <w:rPr>
                    <w:i/>
                    <w:color w:val="2D74B5"/>
                    <w:sz w:val="20"/>
                  </w:rPr>
                  <w:t>Sánchez</w:t>
                </w:r>
              </w:p>
              <w:p w:rsidR="000259E6" w:rsidRDefault="006C0149">
                <w:pPr>
                  <w:spacing w:before="35"/>
                  <w:ind w:right="24"/>
                  <w:jc w:val="right"/>
                  <w:rPr>
                    <w:i/>
                    <w:sz w:val="20"/>
                  </w:rPr>
                </w:pPr>
                <w:r>
                  <w:rPr>
                    <w:i/>
                    <w:color w:val="2D74B5"/>
                    <w:spacing w:val="-1"/>
                    <w:sz w:val="20"/>
                  </w:rPr>
                  <w:t>Villalobos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348BF"/>
    <w:multiLevelType w:val="hybridMultilevel"/>
    <w:tmpl w:val="07C8F99A"/>
    <w:lvl w:ilvl="0" w:tplc="0BF8A60E">
      <w:start w:val="1"/>
      <w:numFmt w:val="decimal"/>
      <w:lvlText w:val="%1."/>
      <w:lvlJc w:val="left"/>
      <w:pPr>
        <w:ind w:left="460" w:hanging="360"/>
        <w:jc w:val="left"/>
      </w:pPr>
      <w:rPr>
        <w:rFonts w:ascii="Arial" w:eastAsia="Arial" w:hAnsi="Arial" w:cs="Arial" w:hint="default"/>
        <w:spacing w:val="-7"/>
        <w:w w:val="99"/>
        <w:sz w:val="20"/>
        <w:szCs w:val="20"/>
        <w:lang w:val="es-PE" w:eastAsia="es-PE" w:bidi="es-PE"/>
      </w:rPr>
    </w:lvl>
    <w:lvl w:ilvl="1" w:tplc="DFDCBDD4">
      <w:numFmt w:val="bullet"/>
      <w:lvlText w:val="•"/>
      <w:lvlJc w:val="left"/>
      <w:pPr>
        <w:ind w:left="1372" w:hanging="360"/>
      </w:pPr>
      <w:rPr>
        <w:rFonts w:hint="default"/>
        <w:lang w:val="es-PE" w:eastAsia="es-PE" w:bidi="es-PE"/>
      </w:rPr>
    </w:lvl>
    <w:lvl w:ilvl="2" w:tplc="EB2CABBE">
      <w:numFmt w:val="bullet"/>
      <w:lvlText w:val="•"/>
      <w:lvlJc w:val="left"/>
      <w:pPr>
        <w:ind w:left="2284" w:hanging="360"/>
      </w:pPr>
      <w:rPr>
        <w:rFonts w:hint="default"/>
        <w:lang w:val="es-PE" w:eastAsia="es-PE" w:bidi="es-PE"/>
      </w:rPr>
    </w:lvl>
    <w:lvl w:ilvl="3" w:tplc="47D04C72">
      <w:numFmt w:val="bullet"/>
      <w:lvlText w:val="•"/>
      <w:lvlJc w:val="left"/>
      <w:pPr>
        <w:ind w:left="3196" w:hanging="360"/>
      </w:pPr>
      <w:rPr>
        <w:rFonts w:hint="default"/>
        <w:lang w:val="es-PE" w:eastAsia="es-PE" w:bidi="es-PE"/>
      </w:rPr>
    </w:lvl>
    <w:lvl w:ilvl="4" w:tplc="4AD8CF20">
      <w:numFmt w:val="bullet"/>
      <w:lvlText w:val="•"/>
      <w:lvlJc w:val="left"/>
      <w:pPr>
        <w:ind w:left="4108" w:hanging="360"/>
      </w:pPr>
      <w:rPr>
        <w:rFonts w:hint="default"/>
        <w:lang w:val="es-PE" w:eastAsia="es-PE" w:bidi="es-PE"/>
      </w:rPr>
    </w:lvl>
    <w:lvl w:ilvl="5" w:tplc="ACE0C05E">
      <w:numFmt w:val="bullet"/>
      <w:lvlText w:val="•"/>
      <w:lvlJc w:val="left"/>
      <w:pPr>
        <w:ind w:left="5020" w:hanging="360"/>
      </w:pPr>
      <w:rPr>
        <w:rFonts w:hint="default"/>
        <w:lang w:val="es-PE" w:eastAsia="es-PE" w:bidi="es-PE"/>
      </w:rPr>
    </w:lvl>
    <w:lvl w:ilvl="6" w:tplc="904C5D42">
      <w:numFmt w:val="bullet"/>
      <w:lvlText w:val="•"/>
      <w:lvlJc w:val="left"/>
      <w:pPr>
        <w:ind w:left="5932" w:hanging="360"/>
      </w:pPr>
      <w:rPr>
        <w:rFonts w:hint="default"/>
        <w:lang w:val="es-PE" w:eastAsia="es-PE" w:bidi="es-PE"/>
      </w:rPr>
    </w:lvl>
    <w:lvl w:ilvl="7" w:tplc="2F14864E">
      <w:numFmt w:val="bullet"/>
      <w:lvlText w:val="•"/>
      <w:lvlJc w:val="left"/>
      <w:pPr>
        <w:ind w:left="6844" w:hanging="360"/>
      </w:pPr>
      <w:rPr>
        <w:rFonts w:hint="default"/>
        <w:lang w:val="es-PE" w:eastAsia="es-PE" w:bidi="es-PE"/>
      </w:rPr>
    </w:lvl>
    <w:lvl w:ilvl="8" w:tplc="F354A650">
      <w:numFmt w:val="bullet"/>
      <w:lvlText w:val="•"/>
      <w:lvlJc w:val="left"/>
      <w:pPr>
        <w:ind w:left="7756" w:hanging="360"/>
      </w:pPr>
      <w:rPr>
        <w:rFonts w:hint="default"/>
        <w:lang w:val="es-PE" w:eastAsia="es-PE" w:bidi="es-PE"/>
      </w:rPr>
    </w:lvl>
  </w:abstractNum>
  <w:abstractNum w:abstractNumId="1">
    <w:nsid w:val="7EDC1919"/>
    <w:multiLevelType w:val="hybridMultilevel"/>
    <w:tmpl w:val="392216FC"/>
    <w:lvl w:ilvl="0" w:tplc="3A8A1C32">
      <w:numFmt w:val="bullet"/>
      <w:lvlText w:val=""/>
      <w:lvlJc w:val="left"/>
      <w:pPr>
        <w:ind w:left="460" w:hanging="360"/>
      </w:pPr>
      <w:rPr>
        <w:rFonts w:ascii="Symbol" w:eastAsia="Symbol" w:hAnsi="Symbol" w:cs="Symbol" w:hint="default"/>
        <w:w w:val="100"/>
        <w:sz w:val="22"/>
        <w:szCs w:val="22"/>
        <w:lang w:val="es-PE" w:eastAsia="es-PE" w:bidi="es-PE"/>
      </w:rPr>
    </w:lvl>
    <w:lvl w:ilvl="1" w:tplc="F6468EB0">
      <w:numFmt w:val="bullet"/>
      <w:lvlText w:val="•"/>
      <w:lvlJc w:val="left"/>
      <w:pPr>
        <w:ind w:left="867" w:hanging="360"/>
      </w:pPr>
      <w:rPr>
        <w:rFonts w:hint="default"/>
        <w:lang w:val="es-PE" w:eastAsia="es-PE" w:bidi="es-PE"/>
      </w:rPr>
    </w:lvl>
    <w:lvl w:ilvl="2" w:tplc="72823E70">
      <w:numFmt w:val="bullet"/>
      <w:lvlText w:val="•"/>
      <w:lvlJc w:val="left"/>
      <w:pPr>
        <w:ind w:left="1275" w:hanging="360"/>
      </w:pPr>
      <w:rPr>
        <w:rFonts w:hint="default"/>
        <w:lang w:val="es-PE" w:eastAsia="es-PE" w:bidi="es-PE"/>
      </w:rPr>
    </w:lvl>
    <w:lvl w:ilvl="3" w:tplc="9F46C4B4">
      <w:numFmt w:val="bullet"/>
      <w:lvlText w:val="•"/>
      <w:lvlJc w:val="left"/>
      <w:pPr>
        <w:ind w:left="1683" w:hanging="360"/>
      </w:pPr>
      <w:rPr>
        <w:rFonts w:hint="default"/>
        <w:lang w:val="es-PE" w:eastAsia="es-PE" w:bidi="es-PE"/>
      </w:rPr>
    </w:lvl>
    <w:lvl w:ilvl="4" w:tplc="D50A6CFE">
      <w:numFmt w:val="bullet"/>
      <w:lvlText w:val="•"/>
      <w:lvlJc w:val="left"/>
      <w:pPr>
        <w:ind w:left="2091" w:hanging="360"/>
      </w:pPr>
      <w:rPr>
        <w:rFonts w:hint="default"/>
        <w:lang w:val="es-PE" w:eastAsia="es-PE" w:bidi="es-PE"/>
      </w:rPr>
    </w:lvl>
    <w:lvl w:ilvl="5" w:tplc="AD10C67A">
      <w:numFmt w:val="bullet"/>
      <w:lvlText w:val="•"/>
      <w:lvlJc w:val="left"/>
      <w:pPr>
        <w:ind w:left="2499" w:hanging="360"/>
      </w:pPr>
      <w:rPr>
        <w:rFonts w:hint="default"/>
        <w:lang w:val="es-PE" w:eastAsia="es-PE" w:bidi="es-PE"/>
      </w:rPr>
    </w:lvl>
    <w:lvl w:ilvl="6" w:tplc="C7AEE462">
      <w:numFmt w:val="bullet"/>
      <w:lvlText w:val="•"/>
      <w:lvlJc w:val="left"/>
      <w:pPr>
        <w:ind w:left="2907" w:hanging="360"/>
      </w:pPr>
      <w:rPr>
        <w:rFonts w:hint="default"/>
        <w:lang w:val="es-PE" w:eastAsia="es-PE" w:bidi="es-PE"/>
      </w:rPr>
    </w:lvl>
    <w:lvl w:ilvl="7" w:tplc="29BA46C2">
      <w:numFmt w:val="bullet"/>
      <w:lvlText w:val="•"/>
      <w:lvlJc w:val="left"/>
      <w:pPr>
        <w:ind w:left="3314" w:hanging="360"/>
      </w:pPr>
      <w:rPr>
        <w:rFonts w:hint="default"/>
        <w:lang w:val="es-PE" w:eastAsia="es-PE" w:bidi="es-PE"/>
      </w:rPr>
    </w:lvl>
    <w:lvl w:ilvl="8" w:tplc="E4F64F1C">
      <w:numFmt w:val="bullet"/>
      <w:lvlText w:val="•"/>
      <w:lvlJc w:val="left"/>
      <w:pPr>
        <w:ind w:left="3722" w:hanging="360"/>
      </w:pPr>
      <w:rPr>
        <w:rFonts w:hint="default"/>
        <w:lang w:val="es-PE" w:eastAsia="es-PE" w:bidi="es-P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259E6"/>
    <w:rsid w:val="000259E6"/>
    <w:rsid w:val="006C0149"/>
    <w:rsid w:val="00C04C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PE" w:eastAsia="es-PE" w:bidi="es-PE"/>
    </w:rPr>
  </w:style>
  <w:style w:type="paragraph" w:styleId="Ttulo1">
    <w:name w:val="heading 1"/>
    <w:basedOn w:val="Normal"/>
    <w:uiPriority w:val="1"/>
    <w:qFormat/>
    <w:pPr>
      <w:spacing w:before="151"/>
      <w:ind w:left="100"/>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0"/>
      <w:jc w:val="both"/>
    </w:pPr>
  </w:style>
  <w:style w:type="paragraph" w:styleId="Prrafodelista">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dx.doi.org/10.1016/j.ajog.2016.11.1053" TargetMode="External"/><Relationship Id="rId26" Type="http://schemas.openxmlformats.org/officeDocument/2006/relationships/hyperlink" Target="http://dx.doi.org/10.1016/S1470-2045(11)70255-8" TargetMode="External"/><Relationship Id="rId3" Type="http://schemas.microsoft.com/office/2007/relationships/stylesWithEffects" Target="stylesWithEffects.xml"/><Relationship Id="rId21" Type="http://schemas.openxmlformats.org/officeDocument/2006/relationships/hyperlink" Target="http://www.ncbi.nlm.nih.gov/pubmed/6945020"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ncbi.nlm.nih.gov/pubmed/15470281" TargetMode="External"/><Relationship Id="rId25" Type="http://schemas.openxmlformats.org/officeDocument/2006/relationships/hyperlink" Target="http://www.who.int/mediacentre/factsheets/fs380/es/" TargetMode="External"/><Relationship Id="rId2" Type="http://schemas.openxmlformats.org/officeDocument/2006/relationships/styles" Target="styles.xml"/><Relationship Id="rId16" Type="http://schemas.openxmlformats.org/officeDocument/2006/relationships/hyperlink" Target="http://www.ncbi.nlm.nih.gov/pubmed/15470281" TargetMode="External"/><Relationship Id="rId20" Type="http://schemas.openxmlformats.org/officeDocument/2006/relationships/hyperlink" Target="http://dx.doi.org/10.1016/S1470-2045(11)70223-6" TargetMode="External"/><Relationship Id="rId29" Type="http://schemas.openxmlformats.org/officeDocument/2006/relationships/hyperlink" Target="http://www.ncbi.nlm.nih.gov/pubmed/1720399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edscape.com/viewarticle/749595"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dx.doi.org/10.1016/j.ajog.2010.12.058" TargetMode="External"/><Relationship Id="rId28" Type="http://schemas.openxmlformats.org/officeDocument/2006/relationships/hyperlink" Target="http://www.ncbi.nlm.nih.gov/pubmed/17203990" TargetMode="External"/><Relationship Id="rId10" Type="http://schemas.openxmlformats.org/officeDocument/2006/relationships/footer" Target="footer1.xml"/><Relationship Id="rId19" Type="http://schemas.openxmlformats.org/officeDocument/2006/relationships/hyperlink" Target="http://dx.doi.org/10.1016/j.androl.2012.09.00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http://www.ncbi.nlm.nih.gov/pubmed/6945020" TargetMode="External"/><Relationship Id="rId27" Type="http://schemas.openxmlformats.org/officeDocument/2006/relationships/hyperlink" Target="http://doi.org/10.1002/ijc.28119"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2294</Words>
  <Characters>13174</Characters>
  <Application>Microsoft Office Word</Application>
  <DocSecurity>0</DocSecurity>
  <Lines>379</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Esteban</cp:lastModifiedBy>
  <cp:revision>2</cp:revision>
  <dcterms:created xsi:type="dcterms:W3CDTF">2018-03-13T23:04:00Z</dcterms:created>
  <dcterms:modified xsi:type="dcterms:W3CDTF">2018-03-21T22:02:00Z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2018-03-13T00:00:00Z</vt:filetime>
  </property>
</Properties>
</file>