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723"/>
        <w:gridCol w:w="1161"/>
        <w:gridCol w:w="1149"/>
        <w:gridCol w:w="1185"/>
        <w:gridCol w:w="606"/>
        <w:gridCol w:w="2848"/>
      </w:tblGrid>
      <w:tr w:rsidR="005860BC" w:rsidRPr="00BB617F" w14:paraId="25C20707" w14:textId="77777777" w:rsidTr="00877304">
        <w:trPr>
          <w:trHeight w:val="247"/>
          <w:jc w:val="center"/>
        </w:trPr>
        <w:tc>
          <w:tcPr>
            <w:tcW w:w="1781" w:type="dxa"/>
            <w:vMerge w:val="restart"/>
          </w:tcPr>
          <w:p w14:paraId="1E8BB467" w14:textId="77777777" w:rsidR="005860BC" w:rsidRDefault="005860BC" w:rsidP="003757A9">
            <w:pPr>
              <w:jc w:val="right"/>
              <w:rPr>
                <w:rFonts w:ascii="Arial" w:eastAsia="Arial" w:hAnsi="Arial" w:cs="Arial"/>
                <w:color w:val="000000"/>
                <w:sz w:val="16"/>
                <w:szCs w:val="16"/>
              </w:rPr>
            </w:pPr>
            <w:r w:rsidRPr="009132A2">
              <w:rPr>
                <w:rFonts w:ascii="Yu Gothic Light" w:eastAsia="Yu Gothic Light" w:hAnsi="Yu Gothic Light"/>
                <w:b/>
                <w:noProof/>
                <w:color w:val="002060"/>
                <w:sz w:val="36"/>
                <w:szCs w:val="72"/>
                <w:lang w:val="es-CR" w:eastAsia="es-CR"/>
              </w:rPr>
              <w:drawing>
                <wp:anchor distT="0" distB="0" distL="114300" distR="114300" simplePos="0" relativeHeight="251661312" behindDoc="0" locked="0" layoutInCell="1" allowOverlap="1" wp14:anchorId="44F3EFE8" wp14:editId="5D477B62">
                  <wp:simplePos x="0" y="0"/>
                  <wp:positionH relativeFrom="column">
                    <wp:posOffset>77470</wp:posOffset>
                  </wp:positionH>
                  <wp:positionV relativeFrom="paragraph">
                    <wp:posOffset>830</wp:posOffset>
                  </wp:positionV>
                  <wp:extent cx="609600" cy="586105"/>
                  <wp:effectExtent l="0" t="0" r="0" b="4445"/>
                  <wp:wrapNone/>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586105"/>
                          </a:xfrm>
                          <a:prstGeom prst="rect">
                            <a:avLst/>
                          </a:prstGeom>
                          <a:noFill/>
                        </pic:spPr>
                      </pic:pic>
                    </a:graphicData>
                  </a:graphic>
                  <wp14:sizeRelH relativeFrom="page">
                    <wp14:pctWidth>0</wp14:pctWidth>
                  </wp14:sizeRelH>
                  <wp14:sizeRelV relativeFrom="page">
                    <wp14:pctHeight>0</wp14:pctHeight>
                  </wp14:sizeRelV>
                </wp:anchor>
              </w:drawing>
            </w:r>
          </w:p>
          <w:p w14:paraId="7094A71C" w14:textId="77777777" w:rsidR="005860BC" w:rsidRDefault="005860BC" w:rsidP="003757A9">
            <w:pPr>
              <w:jc w:val="right"/>
              <w:rPr>
                <w:rFonts w:ascii="Arial" w:hAnsi="Arial" w:cs="Arial"/>
                <w:b/>
                <w:sz w:val="24"/>
                <w:szCs w:val="28"/>
              </w:rPr>
            </w:pPr>
          </w:p>
        </w:tc>
        <w:tc>
          <w:tcPr>
            <w:tcW w:w="3020" w:type="dxa"/>
            <w:gridSpan w:val="3"/>
            <w:vMerge w:val="restart"/>
            <w:vAlign w:val="center"/>
          </w:tcPr>
          <w:p w14:paraId="11DBD942" w14:textId="77777777" w:rsidR="005860BC" w:rsidRPr="004E5DEB" w:rsidRDefault="005860BC" w:rsidP="003757A9">
            <w:pPr>
              <w:spacing w:line="276" w:lineRule="auto"/>
              <w:jc w:val="center"/>
              <w:rPr>
                <w:rFonts w:ascii="Arial" w:eastAsia="Arial" w:hAnsi="Arial" w:cs="Arial"/>
                <w:color w:val="000000"/>
                <w:sz w:val="17"/>
                <w:szCs w:val="17"/>
              </w:rPr>
            </w:pPr>
            <w:r w:rsidRPr="004E5DEB">
              <w:rPr>
                <w:rFonts w:ascii="Arial" w:eastAsia="Arial" w:hAnsi="Arial" w:cs="Arial"/>
                <w:color w:val="000000"/>
                <w:sz w:val="17"/>
                <w:szCs w:val="17"/>
              </w:rPr>
              <w:t>Revista Médica Sinergia</w:t>
            </w:r>
          </w:p>
          <w:p w14:paraId="3A2A64A9" w14:textId="45BDA639" w:rsidR="005860BC" w:rsidRDefault="005860BC" w:rsidP="00806F56">
            <w:pPr>
              <w:spacing w:line="276" w:lineRule="auto"/>
              <w:ind w:left="-47" w:right="-134"/>
              <w:jc w:val="center"/>
              <w:rPr>
                <w:rFonts w:ascii="Arial" w:hAnsi="Arial" w:cs="Arial"/>
                <w:b/>
                <w:sz w:val="24"/>
                <w:szCs w:val="28"/>
              </w:rPr>
            </w:pPr>
            <w:r w:rsidRPr="004E5DEB">
              <w:rPr>
                <w:rFonts w:ascii="Arial" w:eastAsia="Arial" w:hAnsi="Arial" w:cs="Arial"/>
                <w:color w:val="000000"/>
                <w:sz w:val="17"/>
                <w:szCs w:val="17"/>
              </w:rPr>
              <w:t>Vol.</w:t>
            </w:r>
            <w:r w:rsidR="00806F56">
              <w:rPr>
                <w:rFonts w:ascii="Arial" w:eastAsia="Arial" w:hAnsi="Arial" w:cs="Arial"/>
                <w:color w:val="000000"/>
                <w:sz w:val="17"/>
                <w:szCs w:val="17"/>
              </w:rPr>
              <w:t xml:space="preserve"> 9</w:t>
            </w:r>
            <w:r>
              <w:rPr>
                <w:rFonts w:ascii="Arial" w:eastAsia="Arial" w:hAnsi="Arial" w:cs="Arial"/>
                <w:color w:val="000000"/>
                <w:sz w:val="17"/>
                <w:szCs w:val="17"/>
              </w:rPr>
              <w:t>,</w:t>
            </w:r>
            <w:r w:rsidRPr="004E5DEB">
              <w:rPr>
                <w:rFonts w:ascii="Arial" w:eastAsia="Arial" w:hAnsi="Arial" w:cs="Arial"/>
                <w:color w:val="000000"/>
                <w:sz w:val="17"/>
                <w:szCs w:val="17"/>
              </w:rPr>
              <w:t xml:space="preserve"> N</w:t>
            </w:r>
            <w:r>
              <w:rPr>
                <w:rFonts w:ascii="Arial" w:eastAsia="Arial" w:hAnsi="Arial" w:cs="Arial"/>
                <w:color w:val="000000"/>
                <w:sz w:val="17"/>
                <w:szCs w:val="17"/>
              </w:rPr>
              <w:t>ú</w:t>
            </w:r>
            <w:r w:rsidRPr="004E5DEB">
              <w:rPr>
                <w:rFonts w:ascii="Arial" w:eastAsia="Arial" w:hAnsi="Arial" w:cs="Arial"/>
                <w:color w:val="000000"/>
                <w:sz w:val="17"/>
                <w:szCs w:val="17"/>
              </w:rPr>
              <w:t>m.</w:t>
            </w:r>
            <w:r>
              <w:rPr>
                <w:rFonts w:ascii="Arial" w:eastAsia="Arial" w:hAnsi="Arial" w:cs="Arial"/>
                <w:color w:val="000000"/>
                <w:sz w:val="17"/>
                <w:szCs w:val="17"/>
              </w:rPr>
              <w:t xml:space="preserve"> </w:t>
            </w:r>
            <w:r w:rsidR="00FC2E2D">
              <w:rPr>
                <w:rFonts w:ascii="Arial" w:eastAsia="Arial" w:hAnsi="Arial" w:cs="Arial"/>
                <w:color w:val="000000"/>
                <w:sz w:val="17"/>
                <w:szCs w:val="17"/>
              </w:rPr>
              <w:t>1</w:t>
            </w:r>
            <w:r w:rsidRPr="004E5DEB">
              <w:rPr>
                <w:rFonts w:ascii="Arial" w:eastAsia="Arial" w:hAnsi="Arial" w:cs="Arial"/>
                <w:color w:val="000000"/>
                <w:sz w:val="17"/>
                <w:szCs w:val="17"/>
              </w:rPr>
              <w:t xml:space="preserve">, </w:t>
            </w:r>
            <w:r w:rsidR="00806F56">
              <w:rPr>
                <w:rFonts w:ascii="Arial" w:eastAsia="Arial" w:hAnsi="Arial" w:cs="Arial"/>
                <w:color w:val="000000"/>
                <w:sz w:val="17"/>
                <w:szCs w:val="17"/>
              </w:rPr>
              <w:t>enero</w:t>
            </w:r>
            <w:r>
              <w:rPr>
                <w:rFonts w:ascii="Arial" w:eastAsia="Arial" w:hAnsi="Arial" w:cs="Arial"/>
                <w:color w:val="000000"/>
                <w:sz w:val="17"/>
                <w:szCs w:val="17"/>
              </w:rPr>
              <w:t xml:space="preserve"> </w:t>
            </w:r>
            <w:r w:rsidRPr="004E5DEB">
              <w:rPr>
                <w:rFonts w:ascii="Arial" w:eastAsia="Arial" w:hAnsi="Arial" w:cs="Arial"/>
                <w:sz w:val="17"/>
                <w:szCs w:val="17"/>
              </w:rPr>
              <w:t>202</w:t>
            </w:r>
            <w:r w:rsidR="00806F56">
              <w:rPr>
                <w:rFonts w:ascii="Arial" w:eastAsia="Arial" w:hAnsi="Arial" w:cs="Arial"/>
                <w:sz w:val="17"/>
                <w:szCs w:val="17"/>
              </w:rPr>
              <w:t>4</w:t>
            </w:r>
            <w:r w:rsidRPr="004E5DEB">
              <w:rPr>
                <w:rFonts w:ascii="Arial" w:eastAsia="Arial" w:hAnsi="Arial" w:cs="Arial"/>
                <w:sz w:val="17"/>
                <w:szCs w:val="17"/>
              </w:rPr>
              <w:t>,</w:t>
            </w:r>
            <w:r w:rsidR="00563D26">
              <w:rPr>
                <w:rFonts w:ascii="Arial" w:eastAsia="Arial" w:hAnsi="Arial" w:cs="Arial"/>
                <w:sz w:val="17"/>
                <w:szCs w:val="17"/>
              </w:rPr>
              <w:t xml:space="preserve"> </w:t>
            </w:r>
            <w:r w:rsidR="00C26E22">
              <w:rPr>
                <w:rFonts w:ascii="Arial" w:eastAsia="Arial" w:hAnsi="Arial" w:cs="Arial"/>
                <w:sz w:val="17"/>
                <w:szCs w:val="17"/>
              </w:rPr>
              <w:t>e</w:t>
            </w:r>
            <w:r w:rsidR="00BB617F">
              <w:rPr>
                <w:rFonts w:ascii="Arial" w:eastAsia="Arial" w:hAnsi="Arial" w:cs="Arial"/>
                <w:sz w:val="17"/>
                <w:szCs w:val="17"/>
              </w:rPr>
              <w:t>1126</w:t>
            </w:r>
          </w:p>
        </w:tc>
        <w:tc>
          <w:tcPr>
            <w:tcW w:w="1260" w:type="dxa"/>
            <w:vMerge w:val="restart"/>
            <w:vAlign w:val="center"/>
          </w:tcPr>
          <w:p w14:paraId="07647D44" w14:textId="77777777" w:rsidR="005860BC" w:rsidRDefault="005860BC" w:rsidP="003757A9">
            <w:pPr>
              <w:rPr>
                <w:rFonts w:ascii="Arial" w:hAnsi="Arial" w:cs="Arial"/>
                <w:b/>
                <w:sz w:val="24"/>
                <w:szCs w:val="28"/>
              </w:rPr>
            </w:pPr>
          </w:p>
        </w:tc>
        <w:tc>
          <w:tcPr>
            <w:tcW w:w="606" w:type="dxa"/>
          </w:tcPr>
          <w:p w14:paraId="35265353" w14:textId="77777777" w:rsidR="005860BC" w:rsidRDefault="005860BC" w:rsidP="003757A9">
            <w:pPr>
              <w:rPr>
                <w:rFonts w:ascii="Arial" w:hAnsi="Arial" w:cs="Arial"/>
                <w:b/>
                <w:sz w:val="24"/>
                <w:szCs w:val="28"/>
              </w:rPr>
            </w:pPr>
            <w:r>
              <w:rPr>
                <w:b/>
                <w:noProof/>
                <w:sz w:val="24"/>
                <w:szCs w:val="28"/>
                <w:lang w:val="es-CR" w:eastAsia="es-CR"/>
              </w:rPr>
              <w:drawing>
                <wp:inline distT="0" distB="0" distL="0" distR="0" wp14:anchorId="1A555238" wp14:editId="563FEC3C">
                  <wp:extent cx="239151" cy="239151"/>
                  <wp:effectExtent l="0" t="0" r="8890" b="8890"/>
                  <wp:docPr id="9" name="Picture 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139" cy="247139"/>
                          </a:xfrm>
                          <a:prstGeom prst="rect">
                            <a:avLst/>
                          </a:prstGeom>
                        </pic:spPr>
                      </pic:pic>
                    </a:graphicData>
                  </a:graphic>
                </wp:inline>
              </w:drawing>
            </w:r>
          </w:p>
        </w:tc>
        <w:tc>
          <w:tcPr>
            <w:tcW w:w="2264" w:type="dxa"/>
            <w:vAlign w:val="center"/>
          </w:tcPr>
          <w:p w14:paraId="1A5764C8" w14:textId="0A17646B" w:rsidR="005860BC" w:rsidRPr="009604E4" w:rsidRDefault="001B7FED" w:rsidP="00E87B35">
            <w:pPr>
              <w:ind w:left="-99"/>
              <w:jc w:val="right"/>
              <w:rPr>
                <w:sz w:val="16"/>
                <w:szCs w:val="16"/>
                <w:u w:val="single"/>
                <w:lang w:val="es-CR"/>
              </w:rPr>
            </w:pPr>
            <w:hyperlink r:id="rId10" w:history="1">
              <w:r w:rsidRPr="001B7FED">
                <w:rPr>
                  <w:rStyle w:val="Hipervnculo"/>
                  <w:bCs/>
                  <w:sz w:val="16"/>
                  <w:szCs w:val="16"/>
                </w:rPr>
                <w:t>https://doi.org/10.31434/rms.v9i1.1126</w:t>
              </w:r>
            </w:hyperlink>
            <w:r>
              <w:rPr>
                <w:bCs/>
                <w:sz w:val="16"/>
                <w:szCs w:val="16"/>
              </w:rPr>
              <w:t xml:space="preserve"> </w:t>
            </w:r>
          </w:p>
        </w:tc>
      </w:tr>
      <w:tr w:rsidR="005860BC" w14:paraId="60FFB9C6" w14:textId="77777777" w:rsidTr="00877304">
        <w:trPr>
          <w:trHeight w:val="404"/>
          <w:jc w:val="center"/>
        </w:trPr>
        <w:tc>
          <w:tcPr>
            <w:tcW w:w="1781" w:type="dxa"/>
            <w:vMerge/>
          </w:tcPr>
          <w:p w14:paraId="1F945E21" w14:textId="77777777" w:rsidR="005860BC" w:rsidRPr="009132A2" w:rsidRDefault="005860BC" w:rsidP="003757A9">
            <w:pPr>
              <w:jc w:val="right"/>
              <w:rPr>
                <w:rFonts w:ascii="Yu Gothic Light" w:eastAsia="Yu Gothic Light" w:hAnsi="Yu Gothic Light"/>
                <w:b/>
                <w:noProof/>
                <w:color w:val="002060"/>
                <w:sz w:val="36"/>
                <w:szCs w:val="72"/>
                <w:lang w:eastAsia="es-PE"/>
              </w:rPr>
            </w:pPr>
          </w:p>
        </w:tc>
        <w:tc>
          <w:tcPr>
            <w:tcW w:w="3020" w:type="dxa"/>
            <w:gridSpan w:val="3"/>
            <w:vMerge/>
          </w:tcPr>
          <w:p w14:paraId="19EBCF83" w14:textId="77777777" w:rsidR="005860BC" w:rsidRDefault="005860BC" w:rsidP="003757A9">
            <w:pPr>
              <w:jc w:val="center"/>
              <w:rPr>
                <w:rFonts w:ascii="Arial" w:eastAsia="Arial" w:hAnsi="Arial" w:cs="Arial"/>
                <w:color w:val="000000"/>
                <w:sz w:val="16"/>
                <w:szCs w:val="16"/>
              </w:rPr>
            </w:pPr>
          </w:p>
        </w:tc>
        <w:tc>
          <w:tcPr>
            <w:tcW w:w="1260" w:type="dxa"/>
            <w:vMerge/>
          </w:tcPr>
          <w:p w14:paraId="06849EEC" w14:textId="77777777" w:rsidR="005860BC" w:rsidRDefault="005860BC" w:rsidP="003757A9">
            <w:pPr>
              <w:jc w:val="center"/>
              <w:rPr>
                <w:rFonts w:ascii="Arial" w:eastAsia="Arial" w:hAnsi="Arial" w:cs="Arial"/>
                <w:color w:val="000000"/>
                <w:sz w:val="16"/>
                <w:szCs w:val="16"/>
              </w:rPr>
            </w:pPr>
          </w:p>
        </w:tc>
        <w:tc>
          <w:tcPr>
            <w:tcW w:w="606" w:type="dxa"/>
            <w:vAlign w:val="center"/>
          </w:tcPr>
          <w:p w14:paraId="28D17E68" w14:textId="77777777" w:rsidR="005860BC" w:rsidRDefault="005860BC" w:rsidP="003757A9">
            <w:pPr>
              <w:jc w:val="center"/>
              <w:rPr>
                <w:rFonts w:ascii="Arial" w:hAnsi="Arial" w:cs="Arial"/>
                <w:b/>
                <w:sz w:val="24"/>
                <w:szCs w:val="28"/>
              </w:rPr>
            </w:pPr>
            <w:r>
              <w:rPr>
                <w:noProof/>
                <w:lang w:val="es-CR" w:eastAsia="es-CR"/>
              </w:rPr>
              <w:drawing>
                <wp:anchor distT="0" distB="0" distL="114300" distR="114300" simplePos="0" relativeHeight="251662336" behindDoc="1" locked="0" layoutInCell="1" allowOverlap="1" wp14:anchorId="6D5694FB" wp14:editId="2D9E638F">
                  <wp:simplePos x="0" y="0"/>
                  <wp:positionH relativeFrom="column">
                    <wp:posOffset>-1612</wp:posOffset>
                  </wp:positionH>
                  <wp:positionV relativeFrom="paragraph">
                    <wp:posOffset>3566</wp:posOffset>
                  </wp:positionV>
                  <wp:extent cx="267286" cy="216698"/>
                  <wp:effectExtent l="0" t="0" r="0" b="0"/>
                  <wp:wrapNone/>
                  <wp:docPr id="13" name="Imagen 10" descr="Resultado de imagen de correo electronic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orreo electronico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17" cy="2193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4" w:type="dxa"/>
            <w:vAlign w:val="center"/>
          </w:tcPr>
          <w:p w14:paraId="07EB17E1" w14:textId="77777777" w:rsidR="005860BC" w:rsidRPr="005557B5" w:rsidRDefault="00B710EB" w:rsidP="003757A9">
            <w:pPr>
              <w:jc w:val="right"/>
              <w:rPr>
                <w:rFonts w:ascii="Arial" w:hAnsi="Arial" w:cs="Arial"/>
                <w:b/>
                <w:sz w:val="16"/>
                <w:szCs w:val="16"/>
              </w:rPr>
            </w:pPr>
            <w:hyperlink r:id="rId12" w:history="1">
              <w:r w:rsidR="005860BC" w:rsidRPr="005557B5">
                <w:rPr>
                  <w:rStyle w:val="Hipervnculo"/>
                  <w:rFonts w:ascii="Arial" w:hAnsi="Arial" w:cs="Arial"/>
                  <w:sz w:val="16"/>
                  <w:szCs w:val="16"/>
                </w:rPr>
                <w:t>revistamedicasinergia@gmail.com</w:t>
              </w:r>
            </w:hyperlink>
          </w:p>
        </w:tc>
      </w:tr>
      <w:tr w:rsidR="005860BC" w:rsidRPr="00D94F08" w14:paraId="77F99B58" w14:textId="77777777" w:rsidTr="00877304">
        <w:trPr>
          <w:jc w:val="center"/>
        </w:trPr>
        <w:tc>
          <w:tcPr>
            <w:tcW w:w="8931" w:type="dxa"/>
            <w:gridSpan w:val="7"/>
            <w:vAlign w:val="center"/>
          </w:tcPr>
          <w:p w14:paraId="11CA0451" w14:textId="77777777" w:rsidR="00E05531" w:rsidRPr="00233C0B" w:rsidRDefault="00E05531" w:rsidP="00E05531">
            <w:pPr>
              <w:rPr>
                <w:rFonts w:eastAsia="TimesNewRomanPS-BoldMT"/>
                <w:b/>
                <w:bCs/>
                <w:color w:val="000000"/>
                <w:sz w:val="28"/>
                <w:szCs w:val="28"/>
                <w:lang w:val="es-CR"/>
              </w:rPr>
            </w:pPr>
          </w:p>
          <w:p w14:paraId="2F6ED77D" w14:textId="6C23C8D7" w:rsidR="00D94F08" w:rsidRDefault="00D94F08" w:rsidP="000169A7">
            <w:pPr>
              <w:spacing w:line="276" w:lineRule="auto"/>
              <w:jc w:val="center"/>
              <w:rPr>
                <w:rFonts w:eastAsia="TimesNewRomanPS-BoldMT"/>
                <w:b/>
                <w:bCs/>
                <w:color w:val="000000"/>
                <w:sz w:val="28"/>
                <w:szCs w:val="28"/>
                <w:lang w:val="es-CR"/>
              </w:rPr>
            </w:pPr>
            <w:r w:rsidRPr="00D94F08">
              <w:rPr>
                <w:rFonts w:eastAsia="TimesNewRomanPS-BoldMT"/>
                <w:b/>
                <w:bCs/>
                <w:color w:val="000000"/>
                <w:sz w:val="28"/>
                <w:szCs w:val="28"/>
                <w:lang w:val="es-CR"/>
              </w:rPr>
              <w:t>Pioderma gangrenoso como presentación inicial de colitis ulcerosa</w:t>
            </w:r>
          </w:p>
          <w:p w14:paraId="5DE01103" w14:textId="1CDC1C4C" w:rsidR="00601DC5" w:rsidRPr="00FA28AA" w:rsidRDefault="00FA28AA" w:rsidP="000169A7">
            <w:pPr>
              <w:spacing w:line="276" w:lineRule="auto"/>
              <w:jc w:val="center"/>
              <w:rPr>
                <w:rFonts w:ascii="Arial" w:hAnsi="Arial" w:cs="Arial"/>
                <w:sz w:val="26"/>
                <w:szCs w:val="26"/>
                <w:lang w:val="en-US"/>
              </w:rPr>
            </w:pPr>
            <w:r w:rsidRPr="00FA28AA">
              <w:rPr>
                <w:rFonts w:ascii="Arial" w:hAnsi="Arial" w:cs="Arial"/>
                <w:sz w:val="26"/>
                <w:szCs w:val="26"/>
                <w:lang w:val="en-US"/>
              </w:rPr>
              <w:t>Pyoderma gangrenosum as initial presentation of ulcerative colitis</w:t>
            </w:r>
          </w:p>
        </w:tc>
      </w:tr>
      <w:tr w:rsidR="005860BC" w:rsidRPr="00F90A3A" w14:paraId="0C5B1BB9" w14:textId="77777777" w:rsidTr="00877304">
        <w:trPr>
          <w:jc w:val="center"/>
        </w:trPr>
        <w:tc>
          <w:tcPr>
            <w:tcW w:w="2355" w:type="dxa"/>
            <w:gridSpan w:val="2"/>
            <w:vAlign w:val="center"/>
          </w:tcPr>
          <w:p w14:paraId="3DC97774" w14:textId="5686DBE9" w:rsidR="005860BC" w:rsidRPr="00FA28AA" w:rsidRDefault="00C307E7" w:rsidP="003757A9">
            <w:pPr>
              <w:jc w:val="center"/>
              <w:rPr>
                <w:rFonts w:ascii="Arial" w:hAnsi="Arial" w:cs="Arial"/>
                <w:b/>
                <w:sz w:val="24"/>
                <w:szCs w:val="28"/>
                <w:lang w:val="en-US"/>
              </w:rPr>
            </w:pPr>
            <w:r>
              <w:rPr>
                <w:noProof/>
              </w:rPr>
              <w:drawing>
                <wp:inline distT="0" distB="0" distL="0" distR="0" wp14:anchorId="0EAF597B" wp14:editId="16B05198">
                  <wp:extent cx="1440000" cy="1440000"/>
                  <wp:effectExtent l="0" t="0" r="8255" b="8255"/>
                  <wp:docPr id="205506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6974" name=""/>
                          <pic:cNvPicPr/>
                        </pic:nvPicPr>
                        <pic:blipFill>
                          <a:blip r:embed="rId13"/>
                          <a:stretch>
                            <a:fillRect/>
                          </a:stretch>
                        </pic:blipFill>
                        <pic:spPr>
                          <a:xfrm>
                            <a:off x="0" y="0"/>
                            <a:ext cx="1440000" cy="1440000"/>
                          </a:xfrm>
                          <a:prstGeom prst="rect">
                            <a:avLst/>
                          </a:prstGeom>
                        </pic:spPr>
                      </pic:pic>
                    </a:graphicData>
                  </a:graphic>
                </wp:inline>
              </w:drawing>
            </w:r>
          </w:p>
        </w:tc>
        <w:tc>
          <w:tcPr>
            <w:tcW w:w="6576" w:type="dxa"/>
            <w:gridSpan w:val="5"/>
            <w:vAlign w:val="center"/>
          </w:tcPr>
          <w:p w14:paraId="0875A3D9" w14:textId="77777777" w:rsidR="00507BEF" w:rsidRPr="00FA28AA" w:rsidRDefault="00507BEF" w:rsidP="001333F2">
            <w:pPr>
              <w:spacing w:line="276" w:lineRule="auto"/>
              <w:jc w:val="right"/>
              <w:rPr>
                <w:rFonts w:ascii="Arial" w:hAnsi="Arial" w:cs="Arial"/>
                <w:b/>
                <w:bCs/>
                <w:sz w:val="20"/>
                <w:szCs w:val="20"/>
                <w:vertAlign w:val="superscript"/>
                <w:lang w:val="en-US"/>
              </w:rPr>
            </w:pPr>
          </w:p>
          <w:p w14:paraId="1ABDD7D0" w14:textId="266921B3" w:rsidR="009E2369" w:rsidRDefault="00AE5EA0" w:rsidP="001333F2">
            <w:pPr>
              <w:spacing w:line="276" w:lineRule="auto"/>
              <w:jc w:val="right"/>
              <w:rPr>
                <w:rFonts w:ascii="Arial" w:hAnsi="Arial" w:cs="Arial"/>
                <w:b/>
                <w:bCs/>
                <w:sz w:val="20"/>
                <w:szCs w:val="20"/>
                <w:lang w:val="es-CR"/>
              </w:rPr>
            </w:pPr>
            <w:r w:rsidRPr="00AE5EA0">
              <w:rPr>
                <w:rFonts w:ascii="Arial" w:hAnsi="Arial" w:cs="Arial"/>
                <w:b/>
                <w:bCs/>
                <w:sz w:val="20"/>
                <w:szCs w:val="20"/>
                <w:vertAlign w:val="superscript"/>
                <w:lang w:val="es-CR"/>
              </w:rPr>
              <w:t>1</w:t>
            </w:r>
            <w:r w:rsidR="004E0917">
              <w:t xml:space="preserve"> </w:t>
            </w:r>
            <w:r w:rsidR="00A26B89" w:rsidRPr="00A26B89">
              <w:rPr>
                <w:rFonts w:ascii="Arial" w:hAnsi="Arial" w:cs="Arial"/>
                <w:b/>
                <w:bCs/>
                <w:sz w:val="20"/>
                <w:szCs w:val="20"/>
                <w:lang w:val="es-CR"/>
              </w:rPr>
              <w:t xml:space="preserve">Dr. </w:t>
            </w:r>
            <w:r w:rsidR="00D94F08" w:rsidRPr="00D94F08">
              <w:rPr>
                <w:rFonts w:ascii="Arial" w:hAnsi="Arial" w:cs="Arial"/>
                <w:b/>
                <w:bCs/>
                <w:sz w:val="20"/>
                <w:szCs w:val="20"/>
                <w:lang w:val="es-CR"/>
              </w:rPr>
              <w:t>José Gerardo López Sáenz</w:t>
            </w:r>
          </w:p>
          <w:p w14:paraId="0C32AA29" w14:textId="05DC6895" w:rsidR="004D7BD5" w:rsidRPr="004D7BD5" w:rsidRDefault="009E1EC8" w:rsidP="004D7BD5">
            <w:pPr>
              <w:pStyle w:val="Prrafodelista"/>
              <w:spacing w:line="276" w:lineRule="auto"/>
              <w:jc w:val="right"/>
              <w:rPr>
                <w:color w:val="0000FF"/>
                <w:sz w:val="18"/>
                <w:szCs w:val="18"/>
                <w:u w:val="single"/>
                <w:lang w:val="es-CR"/>
              </w:rPr>
            </w:pPr>
            <w:r w:rsidRPr="009E1EC8">
              <w:rPr>
                <w:rFonts w:ascii="Arial" w:hAnsi="Arial" w:cs="Arial"/>
                <w:sz w:val="18"/>
                <w:szCs w:val="18"/>
                <w:lang w:val="es-CR"/>
              </w:rPr>
              <w:t>Universidad de Costa Rica, San José, Costa Rica</w:t>
            </w:r>
            <w:r w:rsidR="004D7BD5" w:rsidRPr="004D7BD5">
              <w:rPr>
                <w:rFonts w:ascii="Arial" w:hAnsi="Arial" w:cs="Arial"/>
                <w:sz w:val="18"/>
                <w:szCs w:val="18"/>
                <w:lang w:val="es-CR"/>
              </w:rPr>
              <w:t xml:space="preserve"> </w:t>
            </w:r>
          </w:p>
          <w:p w14:paraId="2459AC69" w14:textId="12D4ED9E" w:rsidR="00F90A3A" w:rsidRPr="00F90A3A" w:rsidRDefault="00390B6B" w:rsidP="008F4548">
            <w:pPr>
              <w:pStyle w:val="Prrafodelista"/>
              <w:numPr>
                <w:ilvl w:val="0"/>
                <w:numId w:val="1"/>
              </w:numPr>
              <w:jc w:val="right"/>
              <w:rPr>
                <w:rStyle w:val="Hipervnculo"/>
                <w:color w:val="auto"/>
                <w:sz w:val="18"/>
                <w:szCs w:val="18"/>
                <w:u w:val="none"/>
                <w:lang w:val="es-CR"/>
              </w:rPr>
            </w:pPr>
            <w:hyperlink r:id="rId14" w:history="1">
              <w:r w:rsidRPr="00375B3D">
                <w:rPr>
                  <w:rStyle w:val="Hipervnculo"/>
                  <w:sz w:val="18"/>
                  <w:szCs w:val="18"/>
                  <w:lang w:val="es-CR"/>
                </w:rPr>
                <w:t>https://orcid.org/</w:t>
              </w:r>
              <w:r w:rsidRPr="00375B3D">
                <w:rPr>
                  <w:rStyle w:val="Hipervnculo"/>
                  <w:sz w:val="18"/>
                  <w:szCs w:val="18"/>
                  <w:lang w:val="es-CR"/>
                </w:rPr>
                <w:t>0000-0002-9969-2291</w:t>
              </w:r>
            </w:hyperlink>
            <w:r>
              <w:rPr>
                <w:sz w:val="18"/>
                <w:szCs w:val="18"/>
                <w:lang w:val="es-CR"/>
              </w:rPr>
              <w:t xml:space="preserve"> </w:t>
            </w:r>
          </w:p>
          <w:p w14:paraId="008E558A" w14:textId="77777777" w:rsidR="00F90A3A" w:rsidRDefault="00F90A3A" w:rsidP="00F90A3A">
            <w:pPr>
              <w:jc w:val="right"/>
              <w:rPr>
                <w:sz w:val="18"/>
                <w:szCs w:val="18"/>
                <w:lang w:val="es-CR"/>
              </w:rPr>
            </w:pPr>
          </w:p>
          <w:p w14:paraId="6F744AC6" w14:textId="1FAC57E2" w:rsidR="00F90A3A" w:rsidRDefault="006F12BA" w:rsidP="00F90A3A">
            <w:pPr>
              <w:spacing w:line="276" w:lineRule="auto"/>
              <w:jc w:val="right"/>
              <w:rPr>
                <w:rFonts w:ascii="Arial" w:hAnsi="Arial" w:cs="Arial"/>
                <w:b/>
                <w:bCs/>
                <w:sz w:val="20"/>
                <w:szCs w:val="20"/>
                <w:lang w:val="es-CR"/>
              </w:rPr>
            </w:pPr>
            <w:r w:rsidRPr="002D2BFC">
              <w:rPr>
                <w:rFonts w:ascii="Arial" w:hAnsi="Arial" w:cs="Arial"/>
                <w:b/>
                <w:bCs/>
                <w:sz w:val="20"/>
                <w:szCs w:val="20"/>
                <w:vertAlign w:val="superscript"/>
                <w:lang w:val="es-CR"/>
              </w:rPr>
              <w:t>2</w:t>
            </w:r>
            <w:r w:rsidR="002D2BFC">
              <w:rPr>
                <w:rFonts w:ascii="Arial" w:hAnsi="Arial" w:cs="Arial"/>
                <w:b/>
                <w:bCs/>
                <w:sz w:val="20"/>
                <w:szCs w:val="20"/>
                <w:lang w:val="es-CR"/>
              </w:rPr>
              <w:t xml:space="preserve"> </w:t>
            </w:r>
            <w:r w:rsidR="00F90A3A" w:rsidRPr="00A26B89">
              <w:rPr>
                <w:rFonts w:ascii="Arial" w:hAnsi="Arial" w:cs="Arial"/>
                <w:b/>
                <w:bCs/>
                <w:sz w:val="20"/>
                <w:szCs w:val="20"/>
                <w:lang w:val="es-CR"/>
              </w:rPr>
              <w:t xml:space="preserve">Dr. </w:t>
            </w:r>
            <w:r w:rsidRPr="006F12BA">
              <w:rPr>
                <w:rFonts w:ascii="Arial" w:hAnsi="Arial" w:cs="Arial"/>
                <w:b/>
                <w:bCs/>
                <w:sz w:val="20"/>
                <w:szCs w:val="20"/>
                <w:lang w:val="es-CR"/>
              </w:rPr>
              <w:t>Francisco Vargas Navarro</w:t>
            </w:r>
          </w:p>
          <w:p w14:paraId="5B657E3F" w14:textId="7CE176CF" w:rsidR="00F90A3A" w:rsidRPr="004D7BD5" w:rsidRDefault="006F12BA" w:rsidP="00F90A3A">
            <w:pPr>
              <w:pStyle w:val="Prrafodelista"/>
              <w:spacing w:line="276" w:lineRule="auto"/>
              <w:jc w:val="right"/>
              <w:rPr>
                <w:color w:val="0000FF"/>
                <w:sz w:val="18"/>
                <w:szCs w:val="18"/>
                <w:u w:val="single"/>
                <w:lang w:val="es-CR"/>
              </w:rPr>
            </w:pPr>
            <w:r w:rsidRPr="006F12BA">
              <w:rPr>
                <w:rFonts w:ascii="Arial" w:hAnsi="Arial" w:cs="Arial"/>
                <w:sz w:val="18"/>
                <w:szCs w:val="18"/>
                <w:lang w:val="es-CR"/>
              </w:rPr>
              <w:t>Hospital San Juan de Dio</w:t>
            </w:r>
            <w:r>
              <w:rPr>
                <w:rFonts w:ascii="Arial" w:hAnsi="Arial" w:cs="Arial"/>
                <w:sz w:val="18"/>
                <w:szCs w:val="18"/>
                <w:lang w:val="es-CR"/>
              </w:rPr>
              <w:t>s</w:t>
            </w:r>
            <w:r w:rsidRPr="009E1EC8">
              <w:rPr>
                <w:rFonts w:ascii="Arial" w:hAnsi="Arial" w:cs="Arial"/>
                <w:sz w:val="18"/>
                <w:szCs w:val="18"/>
                <w:lang w:val="es-CR"/>
              </w:rPr>
              <w:t xml:space="preserve">, San José, Costa </w:t>
            </w:r>
            <w:r w:rsidRPr="009E1EC8">
              <w:rPr>
                <w:rFonts w:ascii="Arial" w:hAnsi="Arial" w:cs="Arial"/>
                <w:sz w:val="18"/>
                <w:szCs w:val="18"/>
                <w:lang w:val="es-CR"/>
              </w:rPr>
              <w:t>Rica</w:t>
            </w:r>
            <w:r>
              <w:rPr>
                <w:rFonts w:ascii="Arial" w:hAnsi="Arial" w:cs="Arial"/>
                <w:sz w:val="18"/>
                <w:szCs w:val="18"/>
                <w:lang w:val="es-CR"/>
              </w:rPr>
              <w:t xml:space="preserve"> </w:t>
            </w:r>
            <w:r w:rsidR="00F90A3A" w:rsidRPr="004D7BD5">
              <w:rPr>
                <w:rFonts w:ascii="Arial" w:hAnsi="Arial" w:cs="Arial"/>
                <w:sz w:val="18"/>
                <w:szCs w:val="18"/>
                <w:lang w:val="es-CR"/>
              </w:rPr>
              <w:t xml:space="preserve"> </w:t>
            </w:r>
          </w:p>
          <w:p w14:paraId="08C18108" w14:textId="33894168" w:rsidR="00FC2E2D" w:rsidRPr="00705239" w:rsidRDefault="00705239" w:rsidP="00705239">
            <w:pPr>
              <w:pStyle w:val="Prrafodelista"/>
              <w:numPr>
                <w:ilvl w:val="0"/>
                <w:numId w:val="1"/>
              </w:numPr>
              <w:jc w:val="right"/>
              <w:rPr>
                <w:sz w:val="18"/>
                <w:szCs w:val="18"/>
                <w:lang w:val="es-CR"/>
              </w:rPr>
            </w:pPr>
            <w:hyperlink r:id="rId15" w:history="1">
              <w:r w:rsidRPr="00705239">
                <w:rPr>
                  <w:rStyle w:val="Hipervnculo"/>
                  <w:sz w:val="18"/>
                  <w:szCs w:val="18"/>
                  <w:lang w:val="es-CR"/>
                </w:rPr>
                <w:t>https://orcid.org/0000-0003-1453-9958</w:t>
              </w:r>
            </w:hyperlink>
            <w:r w:rsidRPr="00705239">
              <w:rPr>
                <w:sz w:val="18"/>
                <w:szCs w:val="18"/>
                <w:lang w:val="es-CR"/>
              </w:rPr>
              <w:t xml:space="preserve"> </w:t>
            </w:r>
            <w:r w:rsidR="00F90A3A" w:rsidRPr="00705239">
              <w:rPr>
                <w:sz w:val="18"/>
                <w:szCs w:val="18"/>
                <w:lang w:val="es-CR"/>
              </w:rPr>
              <w:t xml:space="preserve">  </w:t>
            </w:r>
            <w:r w:rsidR="005669C3" w:rsidRPr="00705239">
              <w:rPr>
                <w:sz w:val="18"/>
                <w:szCs w:val="18"/>
                <w:lang w:val="es-CR"/>
              </w:rPr>
              <w:t xml:space="preserve"> </w:t>
            </w:r>
            <w:r w:rsidR="00FC2E2D" w:rsidRPr="00705239">
              <w:rPr>
                <w:sz w:val="18"/>
                <w:szCs w:val="18"/>
                <w:lang w:val="es-CR"/>
              </w:rPr>
              <w:t xml:space="preserve"> </w:t>
            </w:r>
          </w:p>
          <w:p w14:paraId="700509EF" w14:textId="6A7D16D3" w:rsidR="005860BC" w:rsidRPr="00590B18" w:rsidRDefault="005860BC" w:rsidP="008F4548">
            <w:pPr>
              <w:jc w:val="right"/>
              <w:rPr>
                <w:color w:val="0000FF"/>
                <w:sz w:val="18"/>
                <w:szCs w:val="18"/>
                <w:u w:val="single"/>
                <w:lang w:val="es-CR"/>
              </w:rPr>
            </w:pPr>
          </w:p>
        </w:tc>
      </w:tr>
      <w:tr w:rsidR="005860BC" w14:paraId="46C2D20E" w14:textId="77777777" w:rsidTr="00877304">
        <w:trPr>
          <w:trHeight w:val="432"/>
          <w:jc w:val="center"/>
        </w:trPr>
        <w:tc>
          <w:tcPr>
            <w:tcW w:w="3594" w:type="dxa"/>
            <w:gridSpan w:val="3"/>
            <w:vAlign w:val="center"/>
          </w:tcPr>
          <w:p w14:paraId="1E435277" w14:textId="77777777" w:rsidR="005860BC" w:rsidRPr="003E4B29" w:rsidRDefault="005860BC" w:rsidP="003757A9">
            <w:pPr>
              <w:spacing w:line="276" w:lineRule="auto"/>
              <w:jc w:val="center"/>
              <w:rPr>
                <w:rFonts w:ascii="Arial" w:eastAsia="Arial" w:hAnsi="Arial" w:cs="Arial"/>
                <w:sz w:val="16"/>
                <w:szCs w:val="16"/>
              </w:rPr>
            </w:pPr>
            <w:r w:rsidRPr="003E4B29">
              <w:rPr>
                <w:rFonts w:ascii="Arial" w:eastAsia="Arial" w:hAnsi="Arial" w:cs="Arial"/>
                <w:sz w:val="16"/>
                <w:szCs w:val="16"/>
              </w:rPr>
              <w:t>Recibido</w:t>
            </w:r>
          </w:p>
          <w:p w14:paraId="17BF52EF" w14:textId="175AB42D" w:rsidR="005860BC" w:rsidRPr="003E4B29" w:rsidRDefault="00D5195B" w:rsidP="003757A9">
            <w:pPr>
              <w:jc w:val="center"/>
              <w:rPr>
                <w:rFonts w:ascii="Arial" w:eastAsia="Arial" w:hAnsi="Arial" w:cs="Arial"/>
                <w:sz w:val="15"/>
                <w:szCs w:val="15"/>
              </w:rPr>
            </w:pPr>
            <w:r w:rsidRPr="003E4B29">
              <w:rPr>
                <w:rFonts w:ascii="Arial" w:eastAsia="Arial" w:hAnsi="Arial" w:cs="Arial"/>
                <w:sz w:val="15"/>
                <w:szCs w:val="15"/>
              </w:rPr>
              <w:t>10</w:t>
            </w:r>
            <w:r w:rsidR="005860BC" w:rsidRPr="003E4B29">
              <w:rPr>
                <w:rFonts w:ascii="Arial" w:eastAsia="Arial" w:hAnsi="Arial" w:cs="Arial"/>
                <w:sz w:val="15"/>
                <w:szCs w:val="15"/>
              </w:rPr>
              <w:t>/</w:t>
            </w:r>
            <w:r w:rsidRPr="003E4B29">
              <w:rPr>
                <w:rFonts w:ascii="Arial" w:eastAsia="Arial" w:hAnsi="Arial" w:cs="Arial"/>
                <w:sz w:val="15"/>
                <w:szCs w:val="15"/>
              </w:rPr>
              <w:t>11</w:t>
            </w:r>
            <w:r w:rsidR="005860BC" w:rsidRPr="003E4B29">
              <w:rPr>
                <w:rFonts w:ascii="Arial" w:eastAsia="Arial" w:hAnsi="Arial" w:cs="Arial"/>
                <w:sz w:val="15"/>
                <w:szCs w:val="15"/>
              </w:rPr>
              <w:t>/202</w:t>
            </w:r>
            <w:r w:rsidR="006A1A38" w:rsidRPr="003E4B29">
              <w:rPr>
                <w:rFonts w:ascii="Arial" w:eastAsia="Arial" w:hAnsi="Arial" w:cs="Arial"/>
                <w:sz w:val="15"/>
                <w:szCs w:val="15"/>
              </w:rPr>
              <w:t>3</w:t>
            </w:r>
          </w:p>
          <w:p w14:paraId="21DD5B0A" w14:textId="77777777" w:rsidR="005860BC" w:rsidRPr="003E4B29" w:rsidRDefault="005860BC" w:rsidP="003757A9">
            <w:pPr>
              <w:jc w:val="center"/>
              <w:rPr>
                <w:rFonts w:ascii="Arial" w:eastAsia="Arial" w:hAnsi="Arial" w:cs="Arial"/>
                <w:sz w:val="15"/>
                <w:szCs w:val="15"/>
              </w:rPr>
            </w:pPr>
          </w:p>
        </w:tc>
        <w:tc>
          <w:tcPr>
            <w:tcW w:w="2467" w:type="dxa"/>
            <w:gridSpan w:val="2"/>
            <w:vAlign w:val="center"/>
          </w:tcPr>
          <w:p w14:paraId="43FA5BA9" w14:textId="77777777" w:rsidR="005860BC" w:rsidRPr="003E4B29" w:rsidRDefault="005860BC" w:rsidP="003757A9">
            <w:pPr>
              <w:spacing w:line="276" w:lineRule="auto"/>
              <w:jc w:val="center"/>
              <w:rPr>
                <w:rFonts w:ascii="Arial" w:eastAsia="Arial" w:hAnsi="Arial" w:cs="Arial"/>
                <w:sz w:val="16"/>
                <w:szCs w:val="16"/>
              </w:rPr>
            </w:pPr>
            <w:r w:rsidRPr="003E4B29">
              <w:rPr>
                <w:rFonts w:ascii="Arial" w:eastAsia="Arial" w:hAnsi="Arial" w:cs="Arial"/>
                <w:sz w:val="16"/>
                <w:szCs w:val="16"/>
              </w:rPr>
              <w:t>Corregido</w:t>
            </w:r>
          </w:p>
          <w:p w14:paraId="769B31BE" w14:textId="095A808C" w:rsidR="005860BC" w:rsidRPr="003E4B29" w:rsidRDefault="0076653A" w:rsidP="003757A9">
            <w:pPr>
              <w:jc w:val="center"/>
              <w:rPr>
                <w:rFonts w:ascii="Arial" w:eastAsia="Arial" w:hAnsi="Arial" w:cs="Arial"/>
                <w:sz w:val="15"/>
                <w:szCs w:val="15"/>
              </w:rPr>
            </w:pPr>
            <w:r w:rsidRPr="003E4B29">
              <w:rPr>
                <w:rFonts w:ascii="Arial" w:eastAsia="Arial" w:hAnsi="Arial" w:cs="Arial"/>
                <w:sz w:val="15"/>
                <w:szCs w:val="15"/>
              </w:rPr>
              <w:t>12</w:t>
            </w:r>
            <w:r w:rsidR="005860BC" w:rsidRPr="003E4B29">
              <w:rPr>
                <w:rFonts w:ascii="Arial" w:eastAsia="Arial" w:hAnsi="Arial" w:cs="Arial"/>
                <w:sz w:val="15"/>
                <w:szCs w:val="15"/>
              </w:rPr>
              <w:t>/</w:t>
            </w:r>
            <w:r w:rsidRPr="003E4B29">
              <w:rPr>
                <w:rFonts w:ascii="Arial" w:eastAsia="Arial" w:hAnsi="Arial" w:cs="Arial"/>
                <w:sz w:val="15"/>
                <w:szCs w:val="15"/>
              </w:rPr>
              <w:t>12</w:t>
            </w:r>
            <w:r w:rsidR="006A1A38" w:rsidRPr="003E4B29">
              <w:rPr>
                <w:rFonts w:ascii="Arial" w:eastAsia="Arial" w:hAnsi="Arial" w:cs="Arial"/>
                <w:sz w:val="15"/>
                <w:szCs w:val="15"/>
              </w:rPr>
              <w:t>/2023</w:t>
            </w:r>
          </w:p>
          <w:p w14:paraId="3AD02D93" w14:textId="77777777" w:rsidR="005860BC" w:rsidRPr="003E4B29" w:rsidRDefault="005860BC" w:rsidP="003757A9">
            <w:pPr>
              <w:jc w:val="center"/>
              <w:rPr>
                <w:rFonts w:ascii="Arial" w:eastAsia="Arial" w:hAnsi="Arial" w:cs="Arial"/>
                <w:sz w:val="15"/>
                <w:szCs w:val="15"/>
              </w:rPr>
            </w:pPr>
          </w:p>
        </w:tc>
        <w:tc>
          <w:tcPr>
            <w:tcW w:w="2870" w:type="dxa"/>
            <w:gridSpan w:val="2"/>
            <w:vAlign w:val="center"/>
          </w:tcPr>
          <w:p w14:paraId="5F713B70" w14:textId="77777777" w:rsidR="005860BC" w:rsidRPr="003E4B29" w:rsidRDefault="005860BC" w:rsidP="003757A9">
            <w:pPr>
              <w:jc w:val="center"/>
              <w:rPr>
                <w:rFonts w:ascii="Arial" w:hAnsi="Arial" w:cs="Arial"/>
                <w:sz w:val="16"/>
                <w:szCs w:val="16"/>
              </w:rPr>
            </w:pPr>
            <w:r w:rsidRPr="003E4B29">
              <w:rPr>
                <w:rFonts w:ascii="Arial" w:hAnsi="Arial" w:cs="Arial"/>
                <w:sz w:val="16"/>
                <w:szCs w:val="16"/>
              </w:rPr>
              <w:t>Aceptado</w:t>
            </w:r>
          </w:p>
          <w:p w14:paraId="3CCE9887" w14:textId="0B0AC923" w:rsidR="00C21442" w:rsidRPr="003E4B29" w:rsidRDefault="0076653A" w:rsidP="00C21442">
            <w:pPr>
              <w:jc w:val="center"/>
              <w:rPr>
                <w:rFonts w:ascii="Arial" w:eastAsia="Arial" w:hAnsi="Arial" w:cs="Arial"/>
                <w:sz w:val="15"/>
                <w:szCs w:val="15"/>
              </w:rPr>
            </w:pPr>
            <w:r w:rsidRPr="003E4B29">
              <w:rPr>
                <w:rFonts w:ascii="Arial" w:eastAsia="Arial" w:hAnsi="Arial" w:cs="Arial"/>
                <w:sz w:val="15"/>
                <w:szCs w:val="15"/>
              </w:rPr>
              <w:t>20</w:t>
            </w:r>
            <w:r w:rsidR="0073664C" w:rsidRPr="003E4B29">
              <w:rPr>
                <w:rFonts w:ascii="Arial" w:eastAsia="Arial" w:hAnsi="Arial" w:cs="Arial"/>
                <w:sz w:val="15"/>
                <w:szCs w:val="15"/>
              </w:rPr>
              <w:t>/</w:t>
            </w:r>
            <w:r w:rsidRPr="003E4B29">
              <w:rPr>
                <w:rFonts w:ascii="Arial" w:eastAsia="Arial" w:hAnsi="Arial" w:cs="Arial"/>
                <w:sz w:val="15"/>
                <w:szCs w:val="15"/>
              </w:rPr>
              <w:t>12</w:t>
            </w:r>
            <w:r w:rsidR="002E2D23" w:rsidRPr="003E4B29">
              <w:rPr>
                <w:rFonts w:ascii="Arial" w:eastAsia="Arial" w:hAnsi="Arial" w:cs="Arial"/>
                <w:sz w:val="15"/>
                <w:szCs w:val="15"/>
              </w:rPr>
              <w:t>/2023</w:t>
            </w:r>
          </w:p>
          <w:p w14:paraId="6C63ABCD" w14:textId="77777777" w:rsidR="005860BC" w:rsidRPr="003E4B29" w:rsidRDefault="005860BC" w:rsidP="003757A9">
            <w:pPr>
              <w:jc w:val="center"/>
              <w:rPr>
                <w:rFonts w:ascii="Arial" w:eastAsia="Arial" w:hAnsi="Arial" w:cs="Arial"/>
                <w:sz w:val="15"/>
                <w:szCs w:val="15"/>
              </w:rPr>
            </w:pPr>
          </w:p>
        </w:tc>
      </w:tr>
      <w:tr w:rsidR="005860BC" w:rsidRPr="00A52EB7" w14:paraId="4DE2D6FF" w14:textId="77777777" w:rsidTr="00877304">
        <w:tblPrEx>
          <w:jc w:val="left"/>
        </w:tblPrEx>
        <w:tc>
          <w:tcPr>
            <w:tcW w:w="8931" w:type="dxa"/>
            <w:gridSpan w:val="7"/>
            <w:shd w:val="clear" w:color="auto" w:fill="C6D9F1" w:themeFill="text2" w:themeFillTint="33"/>
          </w:tcPr>
          <w:p w14:paraId="3B014338" w14:textId="77777777" w:rsidR="005860BC" w:rsidRPr="004C5974" w:rsidRDefault="005860BC" w:rsidP="002E2D23">
            <w:pPr>
              <w:spacing w:line="276" w:lineRule="auto"/>
              <w:ind w:left="100"/>
              <w:jc w:val="center"/>
              <w:rPr>
                <w:rFonts w:ascii="Arial" w:hAnsi="Arial" w:cs="Arial"/>
                <w:b/>
              </w:rPr>
            </w:pPr>
          </w:p>
          <w:p w14:paraId="3A7C96E8" w14:textId="77777777" w:rsidR="005860BC" w:rsidRDefault="005860BC" w:rsidP="002E2D23">
            <w:pPr>
              <w:shd w:val="clear" w:color="auto" w:fill="C6D9F1" w:themeFill="text2" w:themeFillTint="33"/>
              <w:spacing w:line="276" w:lineRule="auto"/>
              <w:ind w:left="29" w:right="56"/>
              <w:jc w:val="center"/>
              <w:rPr>
                <w:rFonts w:ascii="Arial" w:hAnsi="Arial" w:cs="Arial"/>
                <w:b/>
              </w:rPr>
            </w:pPr>
            <w:r>
              <w:rPr>
                <w:rFonts w:ascii="Arial" w:hAnsi="Arial" w:cs="Arial"/>
                <w:b/>
              </w:rPr>
              <w:t>RESUMEN</w:t>
            </w:r>
          </w:p>
          <w:p w14:paraId="346D41BA" w14:textId="1762EB3D" w:rsidR="00590B18" w:rsidRDefault="00D94F08" w:rsidP="00590B18">
            <w:pPr>
              <w:pStyle w:val="Textoindependiente"/>
              <w:shd w:val="clear" w:color="auto" w:fill="C6D9F1" w:themeFill="text2" w:themeFillTint="33"/>
              <w:spacing w:line="276" w:lineRule="auto"/>
              <w:ind w:left="29" w:right="56"/>
            </w:pPr>
            <w:r w:rsidRPr="00D94F08">
              <w:t>El pioderma gangrenoso puede ser, en algunos casos, la manifestación más visible de una enfermedad sistémica. Una vez que se haya realizado la confirmación histológica del pioderma gangrenoso y se hayan excluido otras causas de las lesiones observadas en piel, es importante hacer un trabajo diagnóstico exhaustivo para determinar si dicha lesión se encuentra en relación con patología sistémica. En el contexto de este caso clínico, se logró determinar que dicha lesión se encontraba presente en una paciente con enfermedad inflamatoria intestinal que no había sido documentada de previo. El tratamiento de estas dos patologías va de la mano y es relevante determinar las características propias de cada paciente con el fin de lograr una terapéutica adecuada.</w:t>
            </w:r>
          </w:p>
          <w:p w14:paraId="495D7B8B" w14:textId="67A5ED3B" w:rsidR="000169A7" w:rsidRPr="00590B18" w:rsidRDefault="005860BC" w:rsidP="00590B18">
            <w:pPr>
              <w:pStyle w:val="Textoindependiente"/>
              <w:shd w:val="clear" w:color="auto" w:fill="C6D9F1" w:themeFill="text2" w:themeFillTint="33"/>
              <w:spacing w:before="240" w:line="276" w:lineRule="auto"/>
              <w:ind w:left="29" w:right="56"/>
              <w:rPr>
                <w:rFonts w:ascii="Arial" w:eastAsiaTheme="minorHAnsi" w:hAnsi="Arial" w:cs="Arial"/>
              </w:rPr>
            </w:pPr>
            <w:r w:rsidRPr="00200857">
              <w:rPr>
                <w:rFonts w:ascii="Arial" w:hAnsi="Arial" w:cs="Arial"/>
                <w:b/>
                <w:lang w:val="es-CR"/>
              </w:rPr>
              <w:t>PALABRAS CLAVE:</w:t>
            </w:r>
            <w:r w:rsidRPr="00200857">
              <w:rPr>
                <w:rFonts w:ascii="Arial" w:hAnsi="Arial" w:cs="Arial"/>
                <w:b/>
                <w:spacing w:val="-5"/>
                <w:lang w:val="es-CR"/>
              </w:rPr>
              <w:t xml:space="preserve"> </w:t>
            </w:r>
            <w:r w:rsidR="00A811F8">
              <w:rPr>
                <w:rFonts w:ascii="Arial" w:eastAsiaTheme="minorHAnsi" w:hAnsi="Arial" w:cs="Arial"/>
              </w:rPr>
              <w:t>e</w:t>
            </w:r>
            <w:r w:rsidR="00D94F08" w:rsidRPr="00D94F08">
              <w:rPr>
                <w:rFonts w:ascii="Arial" w:eastAsiaTheme="minorHAnsi" w:hAnsi="Arial" w:cs="Arial"/>
              </w:rPr>
              <w:t>nfermedades inflamatorias del intestino</w:t>
            </w:r>
            <w:r w:rsidR="00025435">
              <w:rPr>
                <w:rFonts w:ascii="Arial" w:eastAsiaTheme="minorHAnsi" w:hAnsi="Arial" w:cs="Arial"/>
              </w:rPr>
              <w:t>;</w:t>
            </w:r>
            <w:r w:rsidR="00D94F08" w:rsidRPr="00D94F08">
              <w:rPr>
                <w:rFonts w:ascii="Arial" w:eastAsiaTheme="minorHAnsi" w:hAnsi="Arial" w:cs="Arial"/>
              </w:rPr>
              <w:t xml:space="preserve"> colitis ulcerosa</w:t>
            </w:r>
            <w:r w:rsidR="00025435">
              <w:rPr>
                <w:rFonts w:ascii="Arial" w:eastAsiaTheme="minorHAnsi" w:hAnsi="Arial" w:cs="Arial"/>
              </w:rPr>
              <w:t>;</w:t>
            </w:r>
            <w:r w:rsidR="00D94F08" w:rsidRPr="00D94F08">
              <w:rPr>
                <w:rFonts w:ascii="Arial" w:eastAsiaTheme="minorHAnsi" w:hAnsi="Arial" w:cs="Arial"/>
              </w:rPr>
              <w:t xml:space="preserve"> piodermia gangrenosa</w:t>
            </w:r>
            <w:r w:rsidR="00025435">
              <w:rPr>
                <w:rFonts w:ascii="Arial" w:eastAsiaTheme="minorHAnsi" w:hAnsi="Arial" w:cs="Arial"/>
              </w:rPr>
              <w:t>;</w:t>
            </w:r>
            <w:r w:rsidR="00D94F08" w:rsidRPr="00D94F08">
              <w:rPr>
                <w:rFonts w:ascii="Arial" w:eastAsiaTheme="minorHAnsi" w:hAnsi="Arial" w:cs="Arial"/>
              </w:rPr>
              <w:t xml:space="preserve"> enfermedades de la piel.</w:t>
            </w:r>
          </w:p>
          <w:p w14:paraId="5662985D" w14:textId="7A28FC42" w:rsidR="005860BC" w:rsidRPr="00BB617F" w:rsidRDefault="005860BC" w:rsidP="00A26B89">
            <w:pPr>
              <w:pStyle w:val="Textoindependiente"/>
              <w:shd w:val="clear" w:color="auto" w:fill="C6D9F1" w:themeFill="text2" w:themeFillTint="33"/>
              <w:spacing w:before="240" w:line="276" w:lineRule="auto"/>
              <w:ind w:left="29" w:right="56"/>
              <w:jc w:val="center"/>
              <w:rPr>
                <w:rFonts w:ascii="Arial" w:hAnsi="Arial" w:cs="Arial"/>
                <w:b/>
                <w:lang w:val="es-CR"/>
              </w:rPr>
            </w:pPr>
            <w:r w:rsidRPr="00BB617F">
              <w:rPr>
                <w:rFonts w:ascii="Arial" w:hAnsi="Arial" w:cs="Arial"/>
                <w:b/>
                <w:lang w:val="es-CR"/>
              </w:rPr>
              <w:t>ABSTRACT</w:t>
            </w:r>
          </w:p>
          <w:p w14:paraId="22878AAF" w14:textId="68FAE61A" w:rsidR="00D94F08" w:rsidRPr="000B5925" w:rsidRDefault="000B5925" w:rsidP="00D94F08">
            <w:pPr>
              <w:pStyle w:val="Textoindependiente"/>
              <w:shd w:val="clear" w:color="auto" w:fill="C6D9F1" w:themeFill="text2" w:themeFillTint="33"/>
              <w:spacing w:line="276" w:lineRule="auto"/>
              <w:ind w:left="29" w:right="56"/>
              <w:rPr>
                <w:lang w:val="en-US"/>
              </w:rPr>
            </w:pPr>
            <w:r w:rsidRPr="000B5925">
              <w:rPr>
                <w:lang w:val="en-US"/>
              </w:rPr>
              <w:t xml:space="preserve">Pyoderma gangrenosum can, in some cases, be the most visible manifestation of a systemic disease. Once histological confirmation of pyoderma gangrenosum has been established and other causes of observed skin lesions have been excluded, it's important to conduct a thorough diagnostic workup to determine if such a lesion is related to systemic pathology. In the context of this clinical case, it was determined that this lesion was present in a patient with inflammatory bowel disease that had not been previously documented. Treating these two pathologies goes hand in hand, and it's relevant to determine the specific characteristics of each patient </w:t>
            </w:r>
            <w:r w:rsidRPr="000B5925">
              <w:rPr>
                <w:lang w:val="en-US"/>
              </w:rPr>
              <w:t>to</w:t>
            </w:r>
            <w:r w:rsidRPr="000B5925">
              <w:rPr>
                <w:lang w:val="en-US"/>
              </w:rPr>
              <w:t xml:space="preserve"> achieve appropriate therapy.</w:t>
            </w:r>
          </w:p>
          <w:p w14:paraId="44E02813" w14:textId="0C2D27CE" w:rsidR="00D94F08" w:rsidRPr="00A52EB7" w:rsidRDefault="00D94F08" w:rsidP="00D94F08">
            <w:pPr>
              <w:pStyle w:val="Textoindependiente"/>
              <w:shd w:val="clear" w:color="auto" w:fill="C6D9F1" w:themeFill="text2" w:themeFillTint="33"/>
              <w:spacing w:before="240" w:line="276" w:lineRule="auto"/>
              <w:ind w:left="29" w:right="56"/>
              <w:rPr>
                <w:rFonts w:ascii="Arial" w:eastAsiaTheme="minorHAnsi" w:hAnsi="Arial" w:cs="Arial"/>
                <w:lang w:val="en-US"/>
              </w:rPr>
            </w:pPr>
            <w:r w:rsidRPr="00A52EB7">
              <w:rPr>
                <w:rFonts w:ascii="Arial" w:hAnsi="Arial" w:cs="Arial"/>
                <w:b/>
                <w:lang w:val="en-US"/>
              </w:rPr>
              <w:t>KEYWORDS:</w:t>
            </w:r>
            <w:r w:rsidRPr="00A52EB7">
              <w:rPr>
                <w:rFonts w:ascii="Arial" w:hAnsi="Arial" w:cs="Arial"/>
                <w:b/>
                <w:spacing w:val="-5"/>
                <w:lang w:val="en-US"/>
              </w:rPr>
              <w:t xml:space="preserve"> </w:t>
            </w:r>
            <w:r w:rsidR="00546B1D">
              <w:rPr>
                <w:rFonts w:ascii="Arial" w:eastAsiaTheme="minorHAnsi" w:hAnsi="Arial" w:cs="Arial"/>
                <w:lang w:val="en-US"/>
              </w:rPr>
              <w:t>i</w:t>
            </w:r>
            <w:r w:rsidR="00A52EB7" w:rsidRPr="00A52EB7">
              <w:rPr>
                <w:rFonts w:ascii="Arial" w:eastAsiaTheme="minorHAnsi" w:hAnsi="Arial" w:cs="Arial"/>
                <w:lang w:val="en-US"/>
              </w:rPr>
              <w:t>nflammatory bowel diseases</w:t>
            </w:r>
            <w:r w:rsidR="00025435">
              <w:rPr>
                <w:rFonts w:ascii="Arial" w:eastAsiaTheme="minorHAnsi" w:hAnsi="Arial" w:cs="Arial"/>
                <w:lang w:val="en-US"/>
              </w:rPr>
              <w:t>;</w:t>
            </w:r>
            <w:r w:rsidR="00A52EB7" w:rsidRPr="00A52EB7">
              <w:rPr>
                <w:rFonts w:ascii="Arial" w:eastAsiaTheme="minorHAnsi" w:hAnsi="Arial" w:cs="Arial"/>
                <w:lang w:val="en-US"/>
              </w:rPr>
              <w:t xml:space="preserve"> ulcerative colitis</w:t>
            </w:r>
            <w:r w:rsidR="00025435">
              <w:rPr>
                <w:rFonts w:ascii="Arial" w:eastAsiaTheme="minorHAnsi" w:hAnsi="Arial" w:cs="Arial"/>
                <w:lang w:val="en-US"/>
              </w:rPr>
              <w:t>;</w:t>
            </w:r>
            <w:r w:rsidR="00A52EB7" w:rsidRPr="00A52EB7">
              <w:rPr>
                <w:rFonts w:ascii="Arial" w:eastAsiaTheme="minorHAnsi" w:hAnsi="Arial" w:cs="Arial"/>
                <w:lang w:val="en-US"/>
              </w:rPr>
              <w:t xml:space="preserve"> pyoderma gangrenosum</w:t>
            </w:r>
            <w:r w:rsidR="00025435">
              <w:rPr>
                <w:rFonts w:ascii="Arial" w:eastAsiaTheme="minorHAnsi" w:hAnsi="Arial" w:cs="Arial"/>
                <w:lang w:val="en-US"/>
              </w:rPr>
              <w:t>;</w:t>
            </w:r>
            <w:r w:rsidR="00A52EB7" w:rsidRPr="00A52EB7">
              <w:rPr>
                <w:rFonts w:ascii="Arial" w:eastAsiaTheme="minorHAnsi" w:hAnsi="Arial" w:cs="Arial"/>
                <w:lang w:val="en-US"/>
              </w:rPr>
              <w:t xml:space="preserve"> skin diseases</w:t>
            </w:r>
            <w:r w:rsidR="00025435">
              <w:rPr>
                <w:rFonts w:ascii="Arial" w:eastAsiaTheme="minorHAnsi" w:hAnsi="Arial" w:cs="Arial"/>
                <w:lang w:val="en-US"/>
              </w:rPr>
              <w:t>.</w:t>
            </w:r>
          </w:p>
          <w:p w14:paraId="7BD13174" w14:textId="0D88AC91" w:rsidR="001C7B0E" w:rsidRPr="00A52EB7" w:rsidRDefault="001C7B0E" w:rsidP="002E2D23">
            <w:pPr>
              <w:spacing w:line="276" w:lineRule="auto"/>
              <w:rPr>
                <w:sz w:val="20"/>
                <w:lang w:val="en-US"/>
              </w:rPr>
            </w:pPr>
          </w:p>
        </w:tc>
      </w:tr>
      <w:tr w:rsidR="005860BC" w:rsidRPr="00BB617F" w14:paraId="4ECC3E1F" w14:textId="77777777" w:rsidTr="008F4548">
        <w:trPr>
          <w:trHeight w:val="579"/>
          <w:jc w:val="center"/>
        </w:trPr>
        <w:tc>
          <w:tcPr>
            <w:tcW w:w="8931" w:type="dxa"/>
            <w:gridSpan w:val="7"/>
            <w:shd w:val="clear" w:color="auto" w:fill="FFFFFF" w:themeFill="background1"/>
          </w:tcPr>
          <w:p w14:paraId="66FDE8D0" w14:textId="77777777" w:rsidR="00AF2D3A" w:rsidRPr="00A52EB7" w:rsidRDefault="00AF2D3A" w:rsidP="00AF2D3A">
            <w:pPr>
              <w:pStyle w:val="NormalWeb"/>
              <w:spacing w:before="160" w:after="0" w:afterAutospacing="0"/>
              <w:jc w:val="both"/>
              <w:rPr>
                <w:rFonts w:ascii="Arial" w:hAnsi="Arial" w:cs="Arial"/>
                <w:sz w:val="14"/>
                <w:szCs w:val="14"/>
                <w:vertAlign w:val="superscript"/>
              </w:rPr>
            </w:pPr>
          </w:p>
          <w:p w14:paraId="642BF73E" w14:textId="6487E004" w:rsidR="001F50BC" w:rsidRDefault="00623094" w:rsidP="00D94F08">
            <w:pPr>
              <w:pStyle w:val="NormalWeb"/>
              <w:spacing w:before="0" w:beforeAutospacing="0" w:after="0" w:afterAutospacing="0"/>
              <w:jc w:val="both"/>
              <w:rPr>
                <w:rFonts w:ascii="Arial" w:hAnsi="Arial" w:cs="Arial"/>
                <w:sz w:val="14"/>
                <w:szCs w:val="14"/>
                <w:lang w:val="es-CR"/>
              </w:rPr>
            </w:pPr>
            <w:r w:rsidRPr="000D6A22">
              <w:rPr>
                <w:rFonts w:ascii="Arial" w:hAnsi="Arial" w:cs="Arial"/>
                <w:sz w:val="14"/>
                <w:szCs w:val="14"/>
                <w:vertAlign w:val="superscript"/>
                <w:lang w:val="es-CR"/>
              </w:rPr>
              <w:t xml:space="preserve">1 </w:t>
            </w:r>
            <w:r w:rsidR="003B4333">
              <w:rPr>
                <w:rFonts w:ascii="Arial" w:hAnsi="Arial" w:cs="Arial"/>
                <w:sz w:val="14"/>
                <w:szCs w:val="14"/>
                <w:lang w:val="es-CR"/>
              </w:rPr>
              <w:t>Mé</w:t>
            </w:r>
            <w:r w:rsidR="003B4333" w:rsidRPr="003B4333">
              <w:rPr>
                <w:rFonts w:ascii="Arial" w:hAnsi="Arial" w:cs="Arial"/>
                <w:sz w:val="14"/>
                <w:szCs w:val="14"/>
                <w:lang w:val="es-CR"/>
              </w:rPr>
              <w:t xml:space="preserve">dico general, graduado de la Universidad de Costa Rica (UCR). Código médico: </w:t>
            </w:r>
            <w:hyperlink r:id="rId16" w:history="1">
              <w:r w:rsidR="003B4333" w:rsidRPr="00C13F0A">
                <w:rPr>
                  <w:rStyle w:val="Hipervnculo"/>
                  <w:rFonts w:ascii="Arial" w:hAnsi="Arial" w:cs="Arial"/>
                  <w:sz w:val="14"/>
                  <w:szCs w:val="14"/>
                  <w:lang w:val="es-CR"/>
                </w:rPr>
                <w:t>MED16810</w:t>
              </w:r>
            </w:hyperlink>
            <w:r w:rsidR="003B4333" w:rsidRPr="003B4333">
              <w:rPr>
                <w:rFonts w:ascii="Arial" w:hAnsi="Arial" w:cs="Arial"/>
                <w:sz w:val="14"/>
                <w:szCs w:val="14"/>
                <w:lang w:val="es-CR"/>
              </w:rPr>
              <w:t xml:space="preserve">. Correo: </w:t>
            </w:r>
            <w:r w:rsidR="003B4333" w:rsidRPr="00666AF3">
              <w:rPr>
                <w:rFonts w:ascii="Arial" w:hAnsi="Arial" w:cs="Arial"/>
                <w:sz w:val="14"/>
                <w:szCs w:val="14"/>
                <w:lang w:val="es-CR"/>
              </w:rPr>
              <w:t>gerardols93cr@gmail.com</w:t>
            </w:r>
          </w:p>
          <w:p w14:paraId="397B6B32" w14:textId="4DAD12BA" w:rsidR="003B4333" w:rsidRPr="00A26B89" w:rsidRDefault="003B4333" w:rsidP="00D94F08">
            <w:pPr>
              <w:pStyle w:val="NormalWeb"/>
              <w:spacing w:before="0" w:beforeAutospacing="0" w:after="0" w:afterAutospacing="0"/>
              <w:jc w:val="both"/>
              <w:rPr>
                <w:rFonts w:ascii="Arial" w:hAnsi="Arial" w:cs="Arial"/>
                <w:sz w:val="14"/>
                <w:szCs w:val="14"/>
                <w:lang w:val="es-CR"/>
              </w:rPr>
            </w:pPr>
            <w:r w:rsidRPr="000D6A22">
              <w:rPr>
                <w:rFonts w:ascii="Arial" w:hAnsi="Arial" w:cs="Arial"/>
                <w:sz w:val="14"/>
                <w:szCs w:val="14"/>
                <w:vertAlign w:val="superscript"/>
                <w:lang w:val="es-CR"/>
              </w:rPr>
              <w:t xml:space="preserve">1 </w:t>
            </w:r>
            <w:r>
              <w:rPr>
                <w:rFonts w:ascii="Arial" w:hAnsi="Arial" w:cs="Arial"/>
                <w:sz w:val="14"/>
                <w:szCs w:val="14"/>
                <w:lang w:val="es-CR"/>
              </w:rPr>
              <w:t>Mé</w:t>
            </w:r>
            <w:r w:rsidRPr="003B4333">
              <w:rPr>
                <w:rFonts w:ascii="Arial" w:hAnsi="Arial" w:cs="Arial"/>
                <w:sz w:val="14"/>
                <w:szCs w:val="14"/>
                <w:lang w:val="es-CR"/>
              </w:rPr>
              <w:t xml:space="preserve">dico </w:t>
            </w:r>
            <w:r w:rsidR="0016250C" w:rsidRPr="0016250C">
              <w:rPr>
                <w:rFonts w:ascii="Arial" w:hAnsi="Arial" w:cs="Arial"/>
                <w:sz w:val="14"/>
                <w:szCs w:val="14"/>
                <w:lang w:val="es-CR"/>
              </w:rPr>
              <w:t>residente de gastroenterología</w:t>
            </w:r>
            <w:r w:rsidRPr="003B4333">
              <w:rPr>
                <w:rFonts w:ascii="Arial" w:hAnsi="Arial" w:cs="Arial"/>
                <w:sz w:val="14"/>
                <w:szCs w:val="14"/>
                <w:lang w:val="es-CR"/>
              </w:rPr>
              <w:t>,</w:t>
            </w:r>
            <w:r w:rsidR="00B352C3">
              <w:rPr>
                <w:rFonts w:ascii="Arial" w:hAnsi="Arial" w:cs="Arial"/>
                <w:sz w:val="14"/>
                <w:szCs w:val="14"/>
                <w:lang w:val="es-CR"/>
              </w:rPr>
              <w:t xml:space="preserve"> </w:t>
            </w:r>
            <w:r w:rsidR="00CB31B0" w:rsidRPr="003B4333">
              <w:rPr>
                <w:rFonts w:ascii="Arial" w:hAnsi="Arial" w:cs="Arial"/>
                <w:sz w:val="14"/>
                <w:szCs w:val="14"/>
                <w:lang w:val="es-CR"/>
              </w:rPr>
              <w:t>Universidad de Costa Rica (UCR)</w:t>
            </w:r>
            <w:r w:rsidR="00CB31B0">
              <w:rPr>
                <w:rFonts w:ascii="Arial" w:hAnsi="Arial" w:cs="Arial"/>
                <w:sz w:val="14"/>
                <w:szCs w:val="14"/>
                <w:lang w:val="es-CR"/>
              </w:rPr>
              <w:t xml:space="preserve">. </w:t>
            </w:r>
            <w:r w:rsidR="00B352C3" w:rsidRPr="00B352C3">
              <w:rPr>
                <w:rFonts w:ascii="Arial" w:hAnsi="Arial" w:cs="Arial"/>
                <w:sz w:val="14"/>
                <w:szCs w:val="14"/>
                <w:lang w:val="es-CR"/>
              </w:rPr>
              <w:t>Código médico:</w:t>
            </w:r>
            <w:r w:rsidR="00B352C3">
              <w:rPr>
                <w:rFonts w:ascii="Arial" w:hAnsi="Arial" w:cs="Arial"/>
                <w:sz w:val="14"/>
                <w:szCs w:val="14"/>
                <w:lang w:val="es-CR"/>
              </w:rPr>
              <w:t xml:space="preserve"> </w:t>
            </w:r>
            <w:hyperlink r:id="rId17" w:history="1">
              <w:r w:rsidR="00B352C3" w:rsidRPr="00A80C03">
                <w:rPr>
                  <w:rStyle w:val="Hipervnculo"/>
                  <w:rFonts w:ascii="Arial" w:hAnsi="Arial" w:cs="Arial"/>
                  <w:sz w:val="14"/>
                  <w:szCs w:val="14"/>
                  <w:lang w:val="es-CR"/>
                </w:rPr>
                <w:t>MED15186</w:t>
              </w:r>
            </w:hyperlink>
            <w:r w:rsidR="00A80C03">
              <w:rPr>
                <w:rFonts w:ascii="Arial" w:hAnsi="Arial" w:cs="Arial"/>
                <w:sz w:val="14"/>
                <w:szCs w:val="14"/>
                <w:lang w:val="es-CR"/>
              </w:rPr>
              <w:t xml:space="preserve">. </w:t>
            </w:r>
            <w:r w:rsidR="00CB31B0" w:rsidRPr="003B4333">
              <w:rPr>
                <w:rFonts w:ascii="Arial" w:hAnsi="Arial" w:cs="Arial"/>
                <w:sz w:val="14"/>
                <w:szCs w:val="14"/>
                <w:lang w:val="es-CR"/>
              </w:rPr>
              <w:t>Correo:</w:t>
            </w:r>
            <w:r w:rsidR="00373505">
              <w:rPr>
                <w:rFonts w:ascii="Arial" w:hAnsi="Arial" w:cs="Arial"/>
                <w:sz w:val="14"/>
                <w:szCs w:val="14"/>
                <w:lang w:val="es-CR"/>
              </w:rPr>
              <w:t xml:space="preserve"> </w:t>
            </w:r>
            <w:r w:rsidR="00373505" w:rsidRPr="00373505">
              <w:rPr>
                <w:rFonts w:ascii="Arial" w:hAnsi="Arial" w:cs="Arial"/>
                <w:sz w:val="14"/>
                <w:szCs w:val="14"/>
                <w:lang w:val="es-CR"/>
              </w:rPr>
              <w:t>fvargasn91@gmail.com</w:t>
            </w:r>
          </w:p>
        </w:tc>
      </w:tr>
    </w:tbl>
    <w:p w14:paraId="0C7806C1" w14:textId="77777777" w:rsidR="005860BC" w:rsidRPr="004D7BD5" w:rsidRDefault="005860BC" w:rsidP="005860BC">
      <w:pPr>
        <w:tabs>
          <w:tab w:val="left" w:pos="5610"/>
        </w:tabs>
        <w:rPr>
          <w:lang w:val="es-CR"/>
        </w:rPr>
      </w:pPr>
    </w:p>
    <w:p w14:paraId="6C69026A" w14:textId="77777777" w:rsidR="001D7EE2" w:rsidRPr="004D7BD5" w:rsidRDefault="001D7EE2" w:rsidP="00590B18">
      <w:pPr>
        <w:pStyle w:val="Ttulo1"/>
        <w:spacing w:after="0"/>
        <w:ind w:right="-45"/>
        <w:jc w:val="left"/>
        <w:sectPr w:rsidR="001D7EE2" w:rsidRPr="004D7BD5" w:rsidSect="00EA46DB">
          <w:headerReference w:type="default" r:id="rId18"/>
          <w:footerReference w:type="default" r:id="rId19"/>
          <w:footerReference w:type="first" r:id="rId20"/>
          <w:type w:val="continuous"/>
          <w:pgSz w:w="12240" w:h="15840"/>
          <w:pgMar w:top="1380" w:right="1467" w:bottom="280" w:left="1320" w:header="720" w:footer="720" w:gutter="0"/>
          <w:cols w:space="720"/>
          <w:titlePg/>
          <w:docGrid w:linePitch="299"/>
        </w:sectPr>
      </w:pPr>
    </w:p>
    <w:p w14:paraId="2EC093D9" w14:textId="77777777" w:rsidR="00FB2E51" w:rsidRPr="00FB2E51" w:rsidRDefault="00FB2E51" w:rsidP="008F4548">
      <w:pPr>
        <w:pStyle w:val="Ttulo"/>
      </w:pPr>
      <w:r w:rsidRPr="008F4548">
        <w:t>INTRODUCCIÓN</w:t>
      </w:r>
    </w:p>
    <w:p w14:paraId="63AB90B3" w14:textId="3F9FD18C" w:rsidR="00D94F08" w:rsidRPr="00D94F08" w:rsidRDefault="00D94F08" w:rsidP="00D94F08">
      <w:pPr>
        <w:autoSpaceDE w:val="0"/>
        <w:autoSpaceDN w:val="0"/>
        <w:adjustRightInd w:val="0"/>
        <w:jc w:val="both"/>
        <w:rPr>
          <w:lang w:val="es-CR"/>
        </w:rPr>
      </w:pPr>
      <w:r w:rsidRPr="00D94F08">
        <w:rPr>
          <w:lang w:val="es-CR"/>
        </w:rPr>
        <w:t>La colitis ulcerosa (CUCI) es una enfermedad crónica inflamatoria del colon, la cual no solamente puede manifestarse con síntomas gastrointestinales, sino que también con múltiples síntomas en diferentes sistemas, y que incluso pueden preceder al diagnóstico de</w:t>
      </w:r>
      <w:r w:rsidR="00D149CC">
        <w:rPr>
          <w:lang w:val="es-CR"/>
        </w:rPr>
        <w:t xml:space="preserve"> </w:t>
      </w:r>
      <w:r w:rsidRPr="00D94F08">
        <w:rPr>
          <w:lang w:val="es-CR"/>
        </w:rPr>
        <w:t>CUCI. El pioderma gangrenoso (PG) es una de ellas, y ocurre en aproximadamente 1% de los pacientes con CUCI (1,2).</w:t>
      </w:r>
      <w:r w:rsidR="00D149CC">
        <w:rPr>
          <w:lang w:val="es-CR"/>
        </w:rPr>
        <w:t xml:space="preserve"> </w:t>
      </w:r>
      <w:r w:rsidRPr="00D94F08">
        <w:rPr>
          <w:lang w:val="es-CR"/>
        </w:rPr>
        <w:t>Se presenta el caso de una paciente femenina la cual inicialmente fue diagnosticada con PG, y tras una revisión por aparatos y sistemas, se documentó la presencia de síntomas gastrointestinales que guiaron al diagnóstico de una CUCI asociada.</w:t>
      </w:r>
    </w:p>
    <w:p w14:paraId="47DB015D" w14:textId="77777777" w:rsidR="00D94F08" w:rsidRPr="00D94F08" w:rsidRDefault="00D94F08" w:rsidP="00D94F08">
      <w:pPr>
        <w:autoSpaceDE w:val="0"/>
        <w:autoSpaceDN w:val="0"/>
        <w:adjustRightInd w:val="0"/>
        <w:jc w:val="both"/>
        <w:rPr>
          <w:lang w:val="es-CR"/>
        </w:rPr>
      </w:pPr>
    </w:p>
    <w:p w14:paraId="37D01A90" w14:textId="77777777" w:rsidR="00D94F08" w:rsidRPr="00D94F08" w:rsidRDefault="00D94F08" w:rsidP="00D94F08">
      <w:pPr>
        <w:pStyle w:val="Ttulo"/>
      </w:pPr>
      <w:r w:rsidRPr="00D94F08">
        <w:t>DESCRIPCIÓN DEL CASO</w:t>
      </w:r>
    </w:p>
    <w:p w14:paraId="6BDE681A" w14:textId="779B8E51" w:rsidR="00D94F08" w:rsidRPr="00D94F08" w:rsidRDefault="00D94F08" w:rsidP="00D94F08">
      <w:pPr>
        <w:autoSpaceDE w:val="0"/>
        <w:autoSpaceDN w:val="0"/>
        <w:adjustRightInd w:val="0"/>
        <w:jc w:val="both"/>
        <w:rPr>
          <w:lang w:val="es-CR"/>
        </w:rPr>
      </w:pPr>
      <w:r w:rsidRPr="00D94F08">
        <w:rPr>
          <w:lang w:val="es-CR"/>
        </w:rPr>
        <w:t>Se recibe en el servicio de medicina interna del Hospital San Juan de Dios a una paciente femenina de 49 años, desconocida enferma hasta el momento de su ingreso al hospital. Su motivo de consulta fue la presencia de una lesión ulcerada en miembro inferior izquierdo a nivel de la región perimaleolar lateral, que se extendía hacia el dorso del pie.</w:t>
      </w:r>
      <w:r w:rsidR="00D149CC">
        <w:rPr>
          <w:lang w:val="es-CR"/>
        </w:rPr>
        <w:t xml:space="preserve"> </w:t>
      </w:r>
      <w:r w:rsidRPr="00D94F08">
        <w:rPr>
          <w:lang w:val="es-CR"/>
        </w:rPr>
        <w:t>La paciente mencionó que dicha lesión había iniciado de forma espontánea, sin mediar trauma ni picaduras de insectos de por medio, aproximadamente 15 días previo al ingreso hospitalario. La lesión inicial fue descrita como una vesícula violácea, que fue aumentando</w:t>
      </w:r>
      <w:r w:rsidRPr="00297704">
        <w:rPr>
          <w:sz w:val="18"/>
          <w:szCs w:val="18"/>
          <w:lang w:val="es-CR"/>
        </w:rPr>
        <w:t xml:space="preserve"> </w:t>
      </w:r>
      <w:r w:rsidRPr="00D94F08">
        <w:rPr>
          <w:lang w:val="es-CR"/>
        </w:rPr>
        <w:t>de tamaño hasta llegar a ulcerarse, y además asociaba un dolor importante en la zona afectada. Previo a su ingreso, la paciente refiere haber utilizado ceftriaxona sin obtener ningún resultado.</w:t>
      </w:r>
    </w:p>
    <w:p w14:paraId="4E4C8C14" w14:textId="77777777" w:rsidR="00D94F08" w:rsidRPr="00D94F08" w:rsidRDefault="00D94F08" w:rsidP="00D94F08">
      <w:pPr>
        <w:autoSpaceDE w:val="0"/>
        <w:autoSpaceDN w:val="0"/>
        <w:adjustRightInd w:val="0"/>
        <w:jc w:val="both"/>
        <w:rPr>
          <w:lang w:val="es-CR"/>
        </w:rPr>
      </w:pPr>
      <w:r w:rsidRPr="00D94F08">
        <w:rPr>
          <w:lang w:val="es-CR"/>
        </w:rPr>
        <w:t>Al explorar la lesión, esta presentaba aproximadamente 10 cm de diámetro, tenía bordes pobremente definidos y un centro que presentaba abundante fibrina y tejido de granulación. En la revisión por aparatos y sistemas se documenta que la paciente ha presentado molestias gastrointestinales intermitentes durante el último año, predominantemente deposiciones diarreicas.</w:t>
      </w:r>
    </w:p>
    <w:p w14:paraId="69A6C4FD" w14:textId="77777777" w:rsidR="00D94F08" w:rsidRPr="00D94F08" w:rsidRDefault="00D94F08" w:rsidP="00D94F08">
      <w:pPr>
        <w:autoSpaceDE w:val="0"/>
        <w:autoSpaceDN w:val="0"/>
        <w:adjustRightInd w:val="0"/>
        <w:jc w:val="both"/>
        <w:rPr>
          <w:lang w:val="es-CR"/>
        </w:rPr>
      </w:pPr>
      <w:r w:rsidRPr="00D94F08">
        <w:rPr>
          <w:lang w:val="es-CR"/>
        </w:rPr>
        <w:t>En los laboratorios de ingreso se documentó la presencia de anemia normocítica y normocrómica asociada a leucocitosis leve.</w:t>
      </w:r>
    </w:p>
    <w:p w14:paraId="3DE00310" w14:textId="77777777" w:rsidR="00D94F08" w:rsidRPr="00D94F08" w:rsidRDefault="00D94F08" w:rsidP="00D94F08">
      <w:pPr>
        <w:autoSpaceDE w:val="0"/>
        <w:autoSpaceDN w:val="0"/>
        <w:adjustRightInd w:val="0"/>
        <w:jc w:val="both"/>
        <w:rPr>
          <w:lang w:val="es-CR"/>
        </w:rPr>
      </w:pPr>
      <w:r w:rsidRPr="00D94F08">
        <w:rPr>
          <w:lang w:val="es-CR"/>
        </w:rPr>
        <w:t>Dentro de los estudios complementarios, se decidió tomar un cultivo de la lesión, el cual fue negativo por bacterias. Además, se solicitó un frotis de heces a la paciente, en el cual se identificó diarrea de tipo inflamatorio.</w:t>
      </w:r>
    </w:p>
    <w:p w14:paraId="5D0DB57B" w14:textId="5E003141" w:rsidR="00AE3E07" w:rsidRDefault="00D94F08" w:rsidP="00D94F08">
      <w:pPr>
        <w:autoSpaceDE w:val="0"/>
        <w:autoSpaceDN w:val="0"/>
        <w:adjustRightInd w:val="0"/>
        <w:jc w:val="both"/>
        <w:rPr>
          <w:lang w:val="es-CR"/>
        </w:rPr>
        <w:sectPr w:rsidR="00AE3E07" w:rsidSect="00D726D5">
          <w:type w:val="continuous"/>
          <w:pgSz w:w="12240" w:h="15840"/>
          <w:pgMar w:top="1440" w:right="1467" w:bottom="1440" w:left="1440" w:header="720" w:footer="720" w:gutter="0"/>
          <w:pgNumType w:start="1"/>
          <w:cols w:num="2" w:space="720"/>
        </w:sectPr>
      </w:pPr>
      <w:r w:rsidRPr="00D94F08">
        <w:rPr>
          <w:lang w:val="es-CR"/>
        </w:rPr>
        <w:t>Se decidió realizar una biopsia de los márgenes de la lesión, la cual dio un resultado compatible con pioderma gangrenoso. Dados los hallazgos en la historia clínica, los exámenes de laboratorio y otros estudios complementarios, se determina como una de las principales posibilidades diagnósticas que se estuviese ante un pioderma gangrenoso en el contexto de enfermedad inflamatoria intestinal no diagnosticada de previo.</w:t>
      </w:r>
      <w:r w:rsidR="00520F61">
        <w:rPr>
          <w:lang w:val="es-CR"/>
        </w:rPr>
        <w:t xml:space="preserve"> </w:t>
      </w:r>
      <w:r w:rsidRPr="00D94F08">
        <w:rPr>
          <w:lang w:val="es-CR"/>
        </w:rPr>
        <w:t>Se solicitó la realización de una colonoscopía completa, en donde se observaron datos de enfermedad inflamatoria intestinal a nivel macroscópico. Asimismo, se tomaron muestras para biopsia de la mucosa intestinal, las cuales finalmente dieron el diagnóstico definitivo de la paciente.</w:t>
      </w:r>
      <w:r w:rsidR="00D149CC">
        <w:rPr>
          <w:lang w:val="es-CR"/>
        </w:rPr>
        <w:t xml:space="preserve"> </w:t>
      </w:r>
      <w:r w:rsidRPr="00D94F08">
        <w:rPr>
          <w:lang w:val="es-CR"/>
        </w:rPr>
        <w:t>Inicialmente, se decidió iniciar el manejo farmacológico con corticoesteroides. Posteriormente, se añadieron aminosalicilatos, obteniendo una respuesta parcial, por lo que se procedió a agregar Infliximab, el cual generó una respuesta adecuada en la pacient</w:t>
      </w:r>
    </w:p>
    <w:tbl>
      <w:tblPr>
        <w:tblStyle w:val="Tablaconcuadrcula"/>
        <w:tblW w:w="0" w:type="auto"/>
        <w:tblCellMar>
          <w:top w:w="57" w:type="dxa"/>
          <w:bottom w:w="57" w:type="dxa"/>
        </w:tblCellMar>
        <w:tblLook w:val="04A0" w:firstRow="1" w:lastRow="0" w:firstColumn="1" w:lastColumn="0" w:noHBand="0" w:noVBand="1"/>
      </w:tblPr>
      <w:tblGrid>
        <w:gridCol w:w="3107"/>
        <w:gridCol w:w="3108"/>
        <w:gridCol w:w="3108"/>
      </w:tblGrid>
      <w:tr w:rsidR="00A56D06" w14:paraId="375948D7" w14:textId="77777777" w:rsidTr="00AB75BA">
        <w:tc>
          <w:tcPr>
            <w:tcW w:w="9323" w:type="dxa"/>
            <w:gridSpan w:val="3"/>
          </w:tcPr>
          <w:p w14:paraId="64C36728" w14:textId="7E4B2C59" w:rsidR="00A56D06" w:rsidRDefault="00A255AB" w:rsidP="00D94F08">
            <w:pPr>
              <w:autoSpaceDE w:val="0"/>
              <w:autoSpaceDN w:val="0"/>
              <w:adjustRightInd w:val="0"/>
              <w:jc w:val="both"/>
              <w:rPr>
                <w:lang w:val="es-CR"/>
              </w:rPr>
            </w:pPr>
            <w:r w:rsidRPr="004B7A3D">
              <w:rPr>
                <w:b/>
                <w:bCs/>
                <w:lang w:val="es-CR"/>
              </w:rPr>
              <w:lastRenderedPageBreak/>
              <w:t xml:space="preserve">Figura </w:t>
            </w:r>
            <w:r w:rsidR="00B710EB">
              <w:rPr>
                <w:b/>
                <w:bCs/>
                <w:lang w:val="es-CR"/>
              </w:rPr>
              <w:t>1</w:t>
            </w:r>
            <w:r w:rsidRPr="004B7A3D">
              <w:rPr>
                <w:lang w:val="es-CR"/>
              </w:rPr>
              <w:t xml:space="preserve">. </w:t>
            </w:r>
            <w:r w:rsidR="004B7A3D" w:rsidRPr="004B7A3D">
              <w:rPr>
                <w:lang w:val="es-CR"/>
              </w:rPr>
              <w:t>Fotografías que muestran la evolución de la lesión durante el tratamiento con corticosteroides</w:t>
            </w:r>
          </w:p>
        </w:tc>
      </w:tr>
      <w:tr w:rsidR="00AE3E07" w14:paraId="2192B1F0" w14:textId="77777777" w:rsidTr="00B355A1">
        <w:tc>
          <w:tcPr>
            <w:tcW w:w="3107" w:type="dxa"/>
          </w:tcPr>
          <w:p w14:paraId="774C3BBD" w14:textId="1F4A04CD" w:rsidR="00AE3E07" w:rsidRPr="004B7A3D" w:rsidRDefault="00A56D06" w:rsidP="004B7A3D">
            <w:pPr>
              <w:autoSpaceDE w:val="0"/>
              <w:autoSpaceDN w:val="0"/>
              <w:adjustRightInd w:val="0"/>
              <w:jc w:val="center"/>
              <w:rPr>
                <w:b/>
                <w:bCs/>
                <w:sz w:val="20"/>
                <w:szCs w:val="20"/>
                <w:lang w:val="es-CR"/>
              </w:rPr>
            </w:pPr>
            <w:r w:rsidRPr="004B7A3D">
              <w:rPr>
                <w:b/>
                <w:bCs/>
                <w:sz w:val="20"/>
                <w:szCs w:val="20"/>
                <w:lang w:val="es-CR"/>
              </w:rPr>
              <w:t>Inicia</w:t>
            </w:r>
            <w:r w:rsidR="004B7A3D" w:rsidRPr="004B7A3D">
              <w:rPr>
                <w:b/>
                <w:bCs/>
                <w:sz w:val="20"/>
                <w:szCs w:val="20"/>
                <w:lang w:val="es-CR"/>
              </w:rPr>
              <w:t>l</w:t>
            </w:r>
          </w:p>
        </w:tc>
        <w:tc>
          <w:tcPr>
            <w:tcW w:w="3108" w:type="dxa"/>
          </w:tcPr>
          <w:p w14:paraId="429CC77B" w14:textId="02A12C28" w:rsidR="00AE3E07" w:rsidRPr="004B7A3D" w:rsidRDefault="00A56D06" w:rsidP="004B7A3D">
            <w:pPr>
              <w:autoSpaceDE w:val="0"/>
              <w:autoSpaceDN w:val="0"/>
              <w:adjustRightInd w:val="0"/>
              <w:jc w:val="center"/>
              <w:rPr>
                <w:b/>
                <w:bCs/>
                <w:sz w:val="20"/>
                <w:szCs w:val="20"/>
                <w:lang w:val="es-CR"/>
              </w:rPr>
            </w:pPr>
            <w:r w:rsidRPr="004B7A3D">
              <w:rPr>
                <w:b/>
                <w:bCs/>
                <w:sz w:val="20"/>
                <w:szCs w:val="20"/>
                <w:lang w:val="es-CR"/>
              </w:rPr>
              <w:t>1 semana</w:t>
            </w:r>
          </w:p>
        </w:tc>
        <w:tc>
          <w:tcPr>
            <w:tcW w:w="3108" w:type="dxa"/>
          </w:tcPr>
          <w:p w14:paraId="139DA369" w14:textId="32B2993F" w:rsidR="00AE3E07" w:rsidRPr="004B7A3D" w:rsidRDefault="00A56D06" w:rsidP="004B7A3D">
            <w:pPr>
              <w:autoSpaceDE w:val="0"/>
              <w:autoSpaceDN w:val="0"/>
              <w:adjustRightInd w:val="0"/>
              <w:jc w:val="center"/>
              <w:rPr>
                <w:b/>
                <w:bCs/>
                <w:sz w:val="20"/>
                <w:szCs w:val="20"/>
                <w:lang w:val="es-CR"/>
              </w:rPr>
            </w:pPr>
            <w:r w:rsidRPr="004B7A3D">
              <w:rPr>
                <w:b/>
                <w:bCs/>
                <w:sz w:val="20"/>
                <w:szCs w:val="20"/>
                <w:lang w:val="es-CR"/>
              </w:rPr>
              <w:t>2 semanas</w:t>
            </w:r>
          </w:p>
        </w:tc>
      </w:tr>
      <w:tr w:rsidR="00AE3E07" w14:paraId="7E57584C" w14:textId="77777777" w:rsidTr="00B355A1">
        <w:tc>
          <w:tcPr>
            <w:tcW w:w="3107" w:type="dxa"/>
          </w:tcPr>
          <w:p w14:paraId="13C0FFE9" w14:textId="7D98D504" w:rsidR="00AE3E07" w:rsidRPr="00520F61" w:rsidRDefault="003D0B5A" w:rsidP="003D0B5A">
            <w:pPr>
              <w:autoSpaceDE w:val="0"/>
              <w:autoSpaceDN w:val="0"/>
              <w:adjustRightInd w:val="0"/>
              <w:jc w:val="center"/>
              <w:rPr>
                <w:sz w:val="18"/>
                <w:szCs w:val="18"/>
                <w:lang w:val="es-CR"/>
              </w:rPr>
            </w:pPr>
            <w:r w:rsidRPr="00520F61">
              <w:rPr>
                <w:noProof/>
                <w:sz w:val="18"/>
                <w:szCs w:val="18"/>
              </w:rPr>
              <w:drawing>
                <wp:inline distT="0" distB="0" distL="0" distR="0" wp14:anchorId="6B30E90C" wp14:editId="4E694F18">
                  <wp:extent cx="1118235" cy="1491615"/>
                  <wp:effectExtent l="0" t="0" r="5715" b="0"/>
                  <wp:docPr id="1736266424" name="Imagen 173626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1"/>
                          <a:stretch>
                            <a:fillRect/>
                          </a:stretch>
                        </pic:blipFill>
                        <pic:spPr>
                          <a:xfrm>
                            <a:off x="0" y="0"/>
                            <a:ext cx="1118235" cy="1491615"/>
                          </a:xfrm>
                          <a:prstGeom prst="rect">
                            <a:avLst/>
                          </a:prstGeom>
                        </pic:spPr>
                      </pic:pic>
                    </a:graphicData>
                  </a:graphic>
                </wp:inline>
              </w:drawing>
            </w:r>
          </w:p>
        </w:tc>
        <w:tc>
          <w:tcPr>
            <w:tcW w:w="3108" w:type="dxa"/>
          </w:tcPr>
          <w:p w14:paraId="6E263834" w14:textId="0262A353" w:rsidR="00AE3E07" w:rsidRDefault="00A85E5E" w:rsidP="003D0B5A">
            <w:pPr>
              <w:autoSpaceDE w:val="0"/>
              <w:autoSpaceDN w:val="0"/>
              <w:adjustRightInd w:val="0"/>
              <w:jc w:val="center"/>
              <w:rPr>
                <w:lang w:val="es-CR"/>
              </w:rPr>
            </w:pPr>
            <w:r>
              <w:rPr>
                <w:noProof/>
              </w:rPr>
              <w:drawing>
                <wp:inline distT="0" distB="0" distL="0" distR="0" wp14:anchorId="1D205144" wp14:editId="7BDA5453">
                  <wp:extent cx="1498600" cy="1123950"/>
                  <wp:effectExtent l="0" t="3175" r="3175" b="3175"/>
                  <wp:docPr id="894325841" name="Imagen 89432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22"/>
                          <a:stretch>
                            <a:fillRect/>
                          </a:stretch>
                        </pic:blipFill>
                        <pic:spPr>
                          <a:xfrm rot="5400000">
                            <a:off x="0" y="0"/>
                            <a:ext cx="1498600" cy="1123950"/>
                          </a:xfrm>
                          <a:prstGeom prst="rect">
                            <a:avLst/>
                          </a:prstGeom>
                        </pic:spPr>
                      </pic:pic>
                    </a:graphicData>
                  </a:graphic>
                </wp:inline>
              </w:drawing>
            </w:r>
          </w:p>
        </w:tc>
        <w:tc>
          <w:tcPr>
            <w:tcW w:w="3108" w:type="dxa"/>
          </w:tcPr>
          <w:p w14:paraId="4B470353" w14:textId="3CDA65A7" w:rsidR="00AE3E07" w:rsidRDefault="00B355A1" w:rsidP="003D0B5A">
            <w:pPr>
              <w:autoSpaceDE w:val="0"/>
              <w:autoSpaceDN w:val="0"/>
              <w:adjustRightInd w:val="0"/>
              <w:jc w:val="center"/>
              <w:rPr>
                <w:lang w:val="es-CR"/>
              </w:rPr>
            </w:pPr>
            <w:r w:rsidRPr="009332F0">
              <w:rPr>
                <w:rFonts w:ascii="Arial" w:hAnsi="Arial" w:cs="Arial"/>
                <w:noProof/>
                <w:lang w:val="es-ES_tradnl"/>
              </w:rPr>
              <w:drawing>
                <wp:inline distT="0" distB="0" distL="0" distR="0" wp14:anchorId="217A7E8D" wp14:editId="6C8FBA4C">
                  <wp:extent cx="1143000" cy="1524000"/>
                  <wp:effectExtent l="0" t="0" r="0" b="0"/>
                  <wp:docPr id="1129768199" name="Imagen 112976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a:off x="0" y="0"/>
                            <a:ext cx="1147883" cy="1530511"/>
                          </a:xfrm>
                          <a:prstGeom prst="rect">
                            <a:avLst/>
                          </a:prstGeom>
                        </pic:spPr>
                      </pic:pic>
                    </a:graphicData>
                  </a:graphic>
                </wp:inline>
              </w:drawing>
            </w:r>
          </w:p>
        </w:tc>
      </w:tr>
      <w:tr w:rsidR="00AB68B4" w14:paraId="381ECCEA" w14:textId="77777777" w:rsidTr="009440C6">
        <w:tc>
          <w:tcPr>
            <w:tcW w:w="9323" w:type="dxa"/>
            <w:gridSpan w:val="3"/>
          </w:tcPr>
          <w:p w14:paraId="6C73F8DB" w14:textId="6E9122A7" w:rsidR="00AB68B4" w:rsidRPr="00520F61" w:rsidRDefault="00520F61" w:rsidP="00D94F08">
            <w:pPr>
              <w:autoSpaceDE w:val="0"/>
              <w:autoSpaceDN w:val="0"/>
              <w:adjustRightInd w:val="0"/>
              <w:jc w:val="both"/>
              <w:rPr>
                <w:sz w:val="18"/>
                <w:szCs w:val="18"/>
                <w:lang w:val="es-CR"/>
              </w:rPr>
            </w:pPr>
            <w:r w:rsidRPr="00520F61">
              <w:rPr>
                <w:b/>
                <w:bCs/>
                <w:sz w:val="18"/>
                <w:szCs w:val="18"/>
                <w:lang w:val="es-CR"/>
              </w:rPr>
              <w:t>Comentario</w:t>
            </w:r>
            <w:r w:rsidR="00AB68B4" w:rsidRPr="00520F61">
              <w:rPr>
                <w:b/>
                <w:bCs/>
                <w:sz w:val="18"/>
                <w:szCs w:val="18"/>
                <w:lang w:val="es-CR"/>
              </w:rPr>
              <w:t>.</w:t>
            </w:r>
            <w:r w:rsidR="00AB68B4" w:rsidRPr="00520F61">
              <w:rPr>
                <w:sz w:val="18"/>
                <w:szCs w:val="18"/>
                <w:lang w:val="es-CR"/>
              </w:rPr>
              <w:t xml:space="preserve"> </w:t>
            </w:r>
            <w:r w:rsidRPr="00520F61">
              <w:rPr>
                <w:rFonts w:ascii="Arial" w:eastAsia="MS Mincho" w:hAnsi="Arial" w:cs="Arial"/>
                <w:sz w:val="18"/>
                <w:szCs w:val="18"/>
                <w:lang w:val="es-ES_tradnl" w:eastAsia="ja-JP"/>
              </w:rPr>
              <w:t>Evolución de la lesión de la paciente posterior a 2 semanas de tratamiento con corticoesteroides, donde se logra observar menos eritema además de menor cantidad de fibrina y tejido de granulación</w:t>
            </w:r>
            <w:r w:rsidRPr="00520F61">
              <w:rPr>
                <w:rFonts w:ascii="Arial" w:eastAsia="MS Mincho" w:hAnsi="Arial" w:cs="Arial"/>
                <w:sz w:val="18"/>
                <w:szCs w:val="18"/>
                <w:lang w:val="es-ES_tradnl" w:eastAsia="ja-JP"/>
              </w:rPr>
              <w:t>.</w:t>
            </w:r>
          </w:p>
        </w:tc>
      </w:tr>
    </w:tbl>
    <w:p w14:paraId="71F825B1" w14:textId="24F152C3" w:rsidR="00AE3E07" w:rsidRDefault="00AE3E07" w:rsidP="00D94F08">
      <w:pPr>
        <w:autoSpaceDE w:val="0"/>
        <w:autoSpaceDN w:val="0"/>
        <w:adjustRightInd w:val="0"/>
        <w:jc w:val="both"/>
        <w:rPr>
          <w:lang w:val="es-CR"/>
        </w:rPr>
        <w:sectPr w:rsidR="00AE3E07" w:rsidSect="00AE3E07">
          <w:type w:val="continuous"/>
          <w:pgSz w:w="12240" w:h="15840"/>
          <w:pgMar w:top="1440" w:right="1467" w:bottom="1440" w:left="1440" w:header="720" w:footer="720" w:gutter="0"/>
          <w:pgNumType w:start="1"/>
          <w:cols w:space="720"/>
        </w:sectPr>
      </w:pPr>
    </w:p>
    <w:tbl>
      <w:tblPr>
        <w:tblStyle w:val="Tablaconcuadrcula"/>
        <w:tblW w:w="0" w:type="auto"/>
        <w:tblCellMar>
          <w:top w:w="57" w:type="dxa"/>
          <w:bottom w:w="57" w:type="dxa"/>
        </w:tblCellMar>
        <w:tblLook w:val="04A0" w:firstRow="1" w:lastRow="0" w:firstColumn="1" w:lastColumn="0" w:noHBand="0" w:noVBand="1"/>
      </w:tblPr>
      <w:tblGrid>
        <w:gridCol w:w="4296"/>
      </w:tblGrid>
      <w:tr w:rsidR="00520F61" w14:paraId="3AA5D75D" w14:textId="77777777" w:rsidTr="00DC39DD">
        <w:tc>
          <w:tcPr>
            <w:tcW w:w="4296" w:type="dxa"/>
          </w:tcPr>
          <w:p w14:paraId="397AE4BC" w14:textId="69A8F60E" w:rsidR="00520F61" w:rsidRPr="003D41E2" w:rsidRDefault="00520F61" w:rsidP="00DC39DD">
            <w:pPr>
              <w:autoSpaceDE w:val="0"/>
              <w:autoSpaceDN w:val="0"/>
              <w:adjustRightInd w:val="0"/>
              <w:jc w:val="both"/>
              <w:rPr>
                <w:lang w:val="es-CR"/>
              </w:rPr>
            </w:pPr>
            <w:r w:rsidRPr="003D41E2">
              <w:rPr>
                <w:b/>
                <w:bCs/>
                <w:lang w:val="es-CR"/>
              </w:rPr>
              <w:t xml:space="preserve">Figura </w:t>
            </w:r>
            <w:r w:rsidR="00B710EB">
              <w:rPr>
                <w:b/>
                <w:bCs/>
                <w:lang w:val="es-CR"/>
              </w:rPr>
              <w:t>2</w:t>
            </w:r>
            <w:r w:rsidRPr="003D41E2">
              <w:rPr>
                <w:lang w:val="es-CR"/>
              </w:rPr>
              <w:t>. Colonoscopia diagn</w:t>
            </w:r>
            <w:r w:rsidR="00B710EB">
              <w:rPr>
                <w:lang w:val="es-CR"/>
              </w:rPr>
              <w:t>ó</w:t>
            </w:r>
            <w:r w:rsidRPr="003D41E2">
              <w:rPr>
                <w:lang w:val="es-CR"/>
              </w:rPr>
              <w:t>stica</w:t>
            </w:r>
          </w:p>
        </w:tc>
      </w:tr>
      <w:tr w:rsidR="00520F61" w14:paraId="53085B66" w14:textId="77777777" w:rsidTr="00DC39DD">
        <w:tc>
          <w:tcPr>
            <w:tcW w:w="4296" w:type="dxa"/>
          </w:tcPr>
          <w:p w14:paraId="0743E72D" w14:textId="77777777" w:rsidR="00520F61" w:rsidRDefault="00520F61" w:rsidP="00DC39DD">
            <w:pPr>
              <w:autoSpaceDE w:val="0"/>
              <w:autoSpaceDN w:val="0"/>
              <w:adjustRightInd w:val="0"/>
              <w:jc w:val="center"/>
              <w:rPr>
                <w:lang w:val="es-CR"/>
              </w:rPr>
            </w:pPr>
            <w:r w:rsidRPr="00754D97">
              <w:rPr>
                <w:noProof/>
                <w:sz w:val="18"/>
                <w:szCs w:val="18"/>
                <w:lang w:val="es-CR" w:eastAsia="es-CR"/>
              </w:rPr>
              <w:drawing>
                <wp:inline distT="0" distB="0" distL="0" distR="0" wp14:anchorId="251AEFDF" wp14:editId="157116F4">
                  <wp:extent cx="1962150" cy="1934098"/>
                  <wp:effectExtent l="0" t="0" r="0" b="9525"/>
                  <wp:docPr id="1298159200" name="Imagen 129815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9271" cy="1941117"/>
                          </a:xfrm>
                          <a:prstGeom prst="rect">
                            <a:avLst/>
                          </a:prstGeom>
                          <a:noFill/>
                          <a:ln>
                            <a:noFill/>
                          </a:ln>
                        </pic:spPr>
                      </pic:pic>
                    </a:graphicData>
                  </a:graphic>
                </wp:inline>
              </w:drawing>
            </w:r>
          </w:p>
        </w:tc>
      </w:tr>
      <w:tr w:rsidR="00520F61" w14:paraId="6520599E" w14:textId="77777777" w:rsidTr="00DC39DD">
        <w:tc>
          <w:tcPr>
            <w:tcW w:w="4296" w:type="dxa"/>
          </w:tcPr>
          <w:p w14:paraId="02A73EC9" w14:textId="77777777" w:rsidR="00520F61" w:rsidRPr="003D41E2" w:rsidRDefault="00520F61" w:rsidP="00DC39DD">
            <w:pPr>
              <w:autoSpaceDE w:val="0"/>
              <w:autoSpaceDN w:val="0"/>
              <w:adjustRightInd w:val="0"/>
              <w:jc w:val="both"/>
              <w:rPr>
                <w:sz w:val="18"/>
                <w:szCs w:val="18"/>
                <w:lang w:val="es-CR"/>
              </w:rPr>
            </w:pPr>
            <w:r w:rsidRPr="003D41E2">
              <w:rPr>
                <w:b/>
                <w:bCs/>
                <w:sz w:val="18"/>
                <w:szCs w:val="18"/>
                <w:lang w:val="es-CR"/>
              </w:rPr>
              <w:t>Comentario</w:t>
            </w:r>
            <w:r w:rsidRPr="003D41E2">
              <w:rPr>
                <w:sz w:val="18"/>
                <w:szCs w:val="18"/>
                <w:lang w:val="es-CR"/>
              </w:rPr>
              <w:t xml:space="preserve">. </w:t>
            </w:r>
            <w:r w:rsidRPr="003D41E2">
              <w:rPr>
                <w:sz w:val="18"/>
                <w:szCs w:val="18"/>
              </w:rPr>
              <w:t>S</w:t>
            </w:r>
            <w:r w:rsidRPr="003D41E2">
              <w:rPr>
                <w:rFonts w:ascii="Arial" w:hAnsi="Arial" w:cs="Arial"/>
                <w:iCs/>
                <w:sz w:val="18"/>
                <w:szCs w:val="18"/>
              </w:rPr>
              <w:t>e puede observar la mucosa intestinal edematosa y friable, además de presencia de úlceras</w:t>
            </w:r>
          </w:p>
        </w:tc>
      </w:tr>
    </w:tbl>
    <w:p w14:paraId="5E060899" w14:textId="77777777" w:rsidR="00D94F08" w:rsidRPr="00D94F08" w:rsidRDefault="00D94F08" w:rsidP="00D94F08">
      <w:pPr>
        <w:autoSpaceDE w:val="0"/>
        <w:autoSpaceDN w:val="0"/>
        <w:adjustRightInd w:val="0"/>
        <w:jc w:val="both"/>
        <w:rPr>
          <w:lang w:val="es-CR"/>
        </w:rPr>
      </w:pPr>
    </w:p>
    <w:p w14:paraId="7876C8A0" w14:textId="77777777" w:rsidR="00D94F08" w:rsidRPr="00D94F08" w:rsidRDefault="00D94F08" w:rsidP="00D94F08">
      <w:pPr>
        <w:pStyle w:val="Ttulo"/>
      </w:pPr>
      <w:r w:rsidRPr="00D94F08">
        <w:t>DISCUSIÓN</w:t>
      </w:r>
    </w:p>
    <w:p w14:paraId="7FFB9151" w14:textId="77777777" w:rsidR="00D94F08" w:rsidRPr="003E0DDE" w:rsidRDefault="00D94F08" w:rsidP="00D94F08">
      <w:pPr>
        <w:autoSpaceDE w:val="0"/>
        <w:autoSpaceDN w:val="0"/>
        <w:adjustRightInd w:val="0"/>
        <w:jc w:val="both"/>
        <w:rPr>
          <w:b/>
          <w:lang w:val="es-CR"/>
        </w:rPr>
      </w:pPr>
      <w:r w:rsidRPr="003E0DDE">
        <w:rPr>
          <w:b/>
          <w:lang w:val="es-CR"/>
        </w:rPr>
        <w:t>Colitis Ulcerosa</w:t>
      </w:r>
    </w:p>
    <w:p w14:paraId="7102D69F" w14:textId="77777777" w:rsidR="00D94F08" w:rsidRPr="00D94F08" w:rsidRDefault="00D94F08" w:rsidP="00D94F08">
      <w:pPr>
        <w:autoSpaceDE w:val="0"/>
        <w:autoSpaceDN w:val="0"/>
        <w:adjustRightInd w:val="0"/>
        <w:jc w:val="both"/>
        <w:rPr>
          <w:b/>
          <w:u w:val="single"/>
          <w:lang w:val="es-CR"/>
        </w:rPr>
      </w:pPr>
    </w:p>
    <w:p w14:paraId="14F077E4" w14:textId="77777777" w:rsidR="00D94F08" w:rsidRPr="00D94F08" w:rsidRDefault="00D94F08" w:rsidP="00D94F08">
      <w:pPr>
        <w:autoSpaceDE w:val="0"/>
        <w:autoSpaceDN w:val="0"/>
        <w:adjustRightInd w:val="0"/>
        <w:jc w:val="both"/>
        <w:rPr>
          <w:lang w:val="es-CR"/>
        </w:rPr>
      </w:pPr>
      <w:r w:rsidRPr="00D94F08">
        <w:rPr>
          <w:lang w:val="es-CR"/>
        </w:rPr>
        <w:t xml:space="preserve">La colitis ulcerosa (CUCI) es una enfermedad crónica inflamatoria de la mucosa del colon que inicia en el recto y se extiende a los segmentos proximales. Se caracteriza por episodios de remisión y recaída. Se suele presentar más comúnmente en adultos entre los 20-40 </w:t>
      </w:r>
      <w:r w:rsidRPr="00D94F08">
        <w:rPr>
          <w:lang w:val="es-CR"/>
        </w:rPr>
        <w:t>años de edad, aunque puede ser diagnosticada a cualquier edad (1,2).</w:t>
      </w:r>
    </w:p>
    <w:p w14:paraId="68342F7B" w14:textId="77777777" w:rsidR="00D94F08" w:rsidRPr="00D94F08" w:rsidRDefault="00D94F08" w:rsidP="00D94F08">
      <w:pPr>
        <w:autoSpaceDE w:val="0"/>
        <w:autoSpaceDN w:val="0"/>
        <w:adjustRightInd w:val="0"/>
        <w:jc w:val="both"/>
        <w:rPr>
          <w:lang w:val="es-CR"/>
        </w:rPr>
      </w:pPr>
      <w:r w:rsidRPr="00D94F08">
        <w:rPr>
          <w:lang w:val="es-CR"/>
        </w:rPr>
        <w:t>El pioderma gangrenoso (PG) ocurre con una frecuencia entre un 0.5-5% de los pacientes con CUCI o enfermedad de Crohn, siendo más común en mujeres y aquellos con EII que</w:t>
      </w:r>
    </w:p>
    <w:p w14:paraId="350E70BA" w14:textId="77777777" w:rsidR="00D94F08" w:rsidRPr="00D94F08" w:rsidRDefault="00D94F08" w:rsidP="00D94F08">
      <w:pPr>
        <w:autoSpaceDE w:val="0"/>
        <w:autoSpaceDN w:val="0"/>
        <w:adjustRightInd w:val="0"/>
        <w:jc w:val="both"/>
        <w:rPr>
          <w:lang w:val="es-CR"/>
        </w:rPr>
      </w:pPr>
      <w:r w:rsidRPr="00D94F08">
        <w:rPr>
          <w:lang w:val="es-CR"/>
        </w:rPr>
        <w:t>presentan otras manifestaciones extraintestinales (3). La actividad de la EII y el PG tienen</w:t>
      </w:r>
    </w:p>
    <w:p w14:paraId="060770C2" w14:textId="77777777" w:rsidR="00D94F08" w:rsidRPr="00D94F08" w:rsidRDefault="00D94F08" w:rsidP="00D94F08">
      <w:pPr>
        <w:autoSpaceDE w:val="0"/>
        <w:autoSpaceDN w:val="0"/>
        <w:adjustRightInd w:val="0"/>
        <w:jc w:val="both"/>
        <w:rPr>
          <w:lang w:val="es-CR"/>
        </w:rPr>
      </w:pPr>
      <w:r w:rsidRPr="00D94F08">
        <w:rPr>
          <w:lang w:val="es-CR"/>
        </w:rPr>
        <w:t xml:space="preserve">cursos independientes. Las manifestaciones cutáneas pueden aparecer en cualquier momento de la EII, tanto en periodos de actividad como de inactividad, o incluso </w:t>
      </w:r>
      <w:r w:rsidRPr="00D94F08">
        <w:rPr>
          <w:lang w:val="es-CR"/>
        </w:rPr>
        <w:lastRenderedPageBreak/>
        <w:t>pueden</w:t>
      </w:r>
      <w:r w:rsidRPr="00297704">
        <w:rPr>
          <w:sz w:val="18"/>
          <w:szCs w:val="18"/>
          <w:lang w:val="es-CR"/>
        </w:rPr>
        <w:t xml:space="preserve"> </w:t>
      </w:r>
      <w:r w:rsidRPr="00D94F08">
        <w:rPr>
          <w:lang w:val="es-CR"/>
        </w:rPr>
        <w:t>aparecer antes de que haya manifestaciones de EII o persistir posterior a tratamiento quirúrgico (4,5).</w:t>
      </w:r>
    </w:p>
    <w:p w14:paraId="667D6624" w14:textId="77777777" w:rsidR="00D94F08" w:rsidRPr="00D94F08" w:rsidRDefault="00D94F08" w:rsidP="00D94F08">
      <w:pPr>
        <w:autoSpaceDE w:val="0"/>
        <w:autoSpaceDN w:val="0"/>
        <w:adjustRightInd w:val="0"/>
        <w:jc w:val="both"/>
        <w:rPr>
          <w:lang w:val="es-CR"/>
        </w:rPr>
      </w:pPr>
      <w:r w:rsidRPr="00D94F08">
        <w:rPr>
          <w:lang w:val="es-CR"/>
        </w:rPr>
        <w:t>La fisiopatología de la colitis ulcerosa no se conoce completamente, sin embargo, se ha logrado identificar tres componentes que influyen en el desarrollo de la patología: la genética, el ambiente y el sistema inmune. De forma general, hay una disrupción de la homeostasis existente entre la microbiota intestinal y el sistema inmune. Debido a esto, se permite el paso de la flora bacteriana intestinal, la cual es presentada como antígenos por las células dendríticas con eventual activación del sistema inmune del paciente y respuesta inflamatoria descontrolada mediada por células T (6,7).</w:t>
      </w:r>
    </w:p>
    <w:p w14:paraId="73C45E99" w14:textId="77777777" w:rsidR="00D94F08" w:rsidRPr="00D94F08" w:rsidRDefault="00D94F08" w:rsidP="00D94F08">
      <w:pPr>
        <w:autoSpaceDE w:val="0"/>
        <w:autoSpaceDN w:val="0"/>
        <w:adjustRightInd w:val="0"/>
        <w:jc w:val="both"/>
        <w:rPr>
          <w:lang w:val="es-CR"/>
        </w:rPr>
      </w:pPr>
      <w:r w:rsidRPr="00D94F08">
        <w:rPr>
          <w:lang w:val="es-CR"/>
        </w:rPr>
        <w:t>El diagnóstico de CUCI se basa en una combinación de síntomas gastrointestinales como la diarrea y la hematoquecia, la presencia de marcadores bioquímicos como la calprotectina fecal, los hallazgos en la colonoscopía asociados a la inflamación de la mucosa y la biopsia que documenta cambios a nivel de la mucosa como criptas distorsionadas y glándulas ramificadas. Asimismo, se deben descartar causas infecciosas (1,2,8,9).</w:t>
      </w:r>
    </w:p>
    <w:p w14:paraId="4F6E0685" w14:textId="77777777" w:rsidR="00D94F08" w:rsidRPr="00D94F08" w:rsidRDefault="00D94F08" w:rsidP="00D94F08">
      <w:pPr>
        <w:autoSpaceDE w:val="0"/>
        <w:autoSpaceDN w:val="0"/>
        <w:adjustRightInd w:val="0"/>
        <w:jc w:val="both"/>
        <w:rPr>
          <w:lang w:val="es-CR"/>
        </w:rPr>
      </w:pPr>
      <w:r w:rsidRPr="00D94F08">
        <w:rPr>
          <w:lang w:val="es-CR"/>
        </w:rPr>
        <w:t>El tratamiento va a depender de la localización de la enfermedad y su actividad que determina la severidad. Se pueden utilizar aminosalicilatos en enfermedad leve-moderada. En casos más severos, se pueden agregar además esteroides y fármacos biológicos (2,10).</w:t>
      </w:r>
    </w:p>
    <w:p w14:paraId="4AFD0EBB" w14:textId="77777777" w:rsidR="00D94F08" w:rsidRPr="00D94F08" w:rsidRDefault="00D94F08" w:rsidP="00D94F08">
      <w:pPr>
        <w:autoSpaceDE w:val="0"/>
        <w:autoSpaceDN w:val="0"/>
        <w:adjustRightInd w:val="0"/>
        <w:jc w:val="both"/>
        <w:rPr>
          <w:lang w:val="es-CR"/>
        </w:rPr>
      </w:pPr>
    </w:p>
    <w:p w14:paraId="692B03C8" w14:textId="77777777" w:rsidR="00D94F08" w:rsidRPr="003E0DDE" w:rsidRDefault="00D94F08" w:rsidP="00D94F08">
      <w:pPr>
        <w:autoSpaceDE w:val="0"/>
        <w:autoSpaceDN w:val="0"/>
        <w:adjustRightInd w:val="0"/>
        <w:jc w:val="both"/>
        <w:rPr>
          <w:b/>
          <w:lang w:val="es-CR"/>
        </w:rPr>
      </w:pPr>
      <w:r w:rsidRPr="003E0DDE">
        <w:rPr>
          <w:b/>
          <w:lang w:val="es-CR"/>
        </w:rPr>
        <w:t>Pioderma Gangrenoso</w:t>
      </w:r>
    </w:p>
    <w:p w14:paraId="323D066B" w14:textId="77777777" w:rsidR="00D94F08" w:rsidRPr="00D94F08" w:rsidRDefault="00D94F08" w:rsidP="00D94F08">
      <w:pPr>
        <w:autoSpaceDE w:val="0"/>
        <w:autoSpaceDN w:val="0"/>
        <w:adjustRightInd w:val="0"/>
        <w:jc w:val="both"/>
        <w:rPr>
          <w:b/>
          <w:u w:val="single"/>
          <w:lang w:val="es-CR"/>
        </w:rPr>
      </w:pPr>
    </w:p>
    <w:p w14:paraId="6A2C0CE3" w14:textId="77777777" w:rsidR="00D94F08" w:rsidRPr="00D94F08" w:rsidRDefault="00D94F08" w:rsidP="00D94F08">
      <w:pPr>
        <w:autoSpaceDE w:val="0"/>
        <w:autoSpaceDN w:val="0"/>
        <w:adjustRightInd w:val="0"/>
        <w:jc w:val="both"/>
        <w:rPr>
          <w:lang w:val="es-CR"/>
        </w:rPr>
      </w:pPr>
      <w:r w:rsidRPr="00D94F08">
        <w:rPr>
          <w:lang w:val="es-CR"/>
        </w:rPr>
        <w:t xml:space="preserve">El PG es una dermatosis neutrofílica inflamatoria poco común caracterizada por úlceras crónicas, recurrentes y dolorosas con borde violáceo y elevado con eritema circundante. Afecta principalmente pacientes entre los 25 y 54 años de edad, </w:t>
      </w:r>
      <w:r w:rsidRPr="00D94F08">
        <w:rPr>
          <w:lang w:val="es-CR"/>
        </w:rPr>
        <w:t>aunque puede afectar a individuos de cualquier edad, y tiene un predominio similar en ambos sexos, con una leve predisposición en mujeres (4,5,11-13). La presencia de enfermedad sistémica está presente en más de la mitad de pacientes con esta condición, y hasta un 30% de los pacientes con PG pueden asociar enfermedad inflamatoria intestinal (EII) (4,14).</w:t>
      </w:r>
    </w:p>
    <w:p w14:paraId="36F74E63" w14:textId="77777777" w:rsidR="00D94F08" w:rsidRPr="00D94F08" w:rsidRDefault="00D94F08" w:rsidP="00D94F08">
      <w:pPr>
        <w:autoSpaceDE w:val="0"/>
        <w:autoSpaceDN w:val="0"/>
        <w:adjustRightInd w:val="0"/>
        <w:jc w:val="both"/>
        <w:rPr>
          <w:lang w:val="es-CR"/>
        </w:rPr>
      </w:pPr>
      <w:r w:rsidRPr="00D94F08">
        <w:rPr>
          <w:lang w:val="es-CR"/>
        </w:rPr>
        <w:t xml:space="preserve">El PG clásico usualmente comienza como una lesión dolorosa tipo nódulo, placa o pústula estéril que se expande rápidamente en el transcurso de pocos días y evoluciona hasta transformarse en una úlcera con bordes violáceos sobreelevados y bien delimitados. Puede tener un fondo necrótico, uno fibrinoso o puede asociar exudado hemorrágico o purulento (5,13). El sitio más común de aparición de las lesiones son las extremidades inferiores, aunque cualquier parte del cuerpo puede verse afectada (4). </w:t>
      </w:r>
    </w:p>
    <w:p w14:paraId="4886F159" w14:textId="77777777" w:rsidR="00D94F08" w:rsidRPr="00D94F08" w:rsidRDefault="00D94F08" w:rsidP="00D94F08">
      <w:pPr>
        <w:autoSpaceDE w:val="0"/>
        <w:autoSpaceDN w:val="0"/>
        <w:adjustRightInd w:val="0"/>
        <w:jc w:val="both"/>
        <w:rPr>
          <w:lang w:val="es-CR"/>
        </w:rPr>
      </w:pPr>
      <w:r w:rsidRPr="00D94F08">
        <w:rPr>
          <w:lang w:val="es-CR"/>
        </w:rPr>
        <w:t>Se conocen cuatro subtipos morfológicos de PG: ulcerativo (clásico), buloso, pustular y vegetativo (superficial) (4,14). La fisiopatología del PG es compleja y aún no está completamente dilucidada. Los pilares que conforman la patogenia de esta enfermedad son la disfunción neutrofílica asociada a activación de linfocitos Th17, la patergia, la desregulación inmunológica con sobreactivación del sistema inmune adaptativo y el innato mediante la vía de los inflamosomas y la</w:t>
      </w:r>
      <w:r w:rsidRPr="00297704">
        <w:rPr>
          <w:sz w:val="18"/>
          <w:szCs w:val="18"/>
          <w:lang w:val="es-CR"/>
        </w:rPr>
        <w:t xml:space="preserve"> </w:t>
      </w:r>
      <w:r w:rsidRPr="00D94F08">
        <w:rPr>
          <w:lang w:val="es-CR"/>
        </w:rPr>
        <w:t>predisposición genética (12,15,16).</w:t>
      </w:r>
    </w:p>
    <w:p w14:paraId="7BE5C4CF" w14:textId="77777777" w:rsidR="00D94F08" w:rsidRPr="00D94F08" w:rsidRDefault="00D94F08" w:rsidP="00D94F08">
      <w:pPr>
        <w:autoSpaceDE w:val="0"/>
        <w:autoSpaceDN w:val="0"/>
        <w:adjustRightInd w:val="0"/>
        <w:jc w:val="both"/>
        <w:rPr>
          <w:lang w:val="es-CR"/>
        </w:rPr>
      </w:pPr>
      <w:r w:rsidRPr="00D94F08">
        <w:rPr>
          <w:lang w:val="es-CR"/>
        </w:rPr>
        <w:t xml:space="preserve">El diagnostico de PG es un diagnóstico de exclusión. Existen criterios que se utilizan para el diagnóstico y están basados en la histología, la historia clínica, el examen físico de la lesión y la respuesta a tratamiento (17). Es importante descartar la presencia de algún proceso infeccioso activo y conocer el antecedente de alguna enfermedad sistémica, principalmente EII o </w:t>
      </w:r>
      <w:r w:rsidRPr="00D94F08">
        <w:rPr>
          <w:lang w:val="es-CR"/>
        </w:rPr>
        <w:lastRenderedPageBreak/>
        <w:t>artritis reumatoide que están asociadas a esta condición. La biopsia va a demostrar presencia de un infiltrado de predominio neutrofílico (14,18).</w:t>
      </w:r>
    </w:p>
    <w:p w14:paraId="38BC4577" w14:textId="77777777" w:rsidR="00D94F08" w:rsidRPr="00D94F08" w:rsidRDefault="00D94F08" w:rsidP="00D94F08">
      <w:pPr>
        <w:autoSpaceDE w:val="0"/>
        <w:autoSpaceDN w:val="0"/>
        <w:adjustRightInd w:val="0"/>
        <w:jc w:val="both"/>
        <w:rPr>
          <w:lang w:val="es-CR"/>
        </w:rPr>
      </w:pPr>
      <w:r w:rsidRPr="00D94F08">
        <w:rPr>
          <w:lang w:val="es-CR"/>
        </w:rPr>
        <w:t>No hay tratamiento estándar definido. Dentro del tratamiento se encuentra el manejo tópico</w:t>
      </w:r>
    </w:p>
    <w:p w14:paraId="29C1C145" w14:textId="77777777" w:rsidR="00D94F08" w:rsidRPr="00D94F08" w:rsidRDefault="00D94F08" w:rsidP="00D94F08">
      <w:pPr>
        <w:autoSpaceDE w:val="0"/>
        <w:autoSpaceDN w:val="0"/>
        <w:adjustRightInd w:val="0"/>
        <w:jc w:val="both"/>
        <w:rPr>
          <w:lang w:val="es-CR"/>
        </w:rPr>
      </w:pPr>
      <w:r w:rsidRPr="00D94F08">
        <w:rPr>
          <w:lang w:val="es-CR"/>
        </w:rPr>
        <w:t>de la úlcera, que va desde curaciones hasta cirugía reconstructiva. Además, se puede utilizartratamiento tópico como esteroides e inhibidores de la calcineurina (3,14,18-20). En los casos que ameritan tratamiento sistémico, debido a la rápida progresión, se utilizan esteroides o inmunosupresores como primera línea. Se puede utilizar además fármacos biológicos o inmunoglobulina intravenosa que pueden ayudar a controlar los síntomas de la</w:t>
      </w:r>
    </w:p>
    <w:p w14:paraId="09204225" w14:textId="77777777" w:rsidR="00D94F08" w:rsidRPr="00D94F08" w:rsidRDefault="00D94F08" w:rsidP="00D94F08">
      <w:pPr>
        <w:autoSpaceDE w:val="0"/>
        <w:autoSpaceDN w:val="0"/>
        <w:adjustRightInd w:val="0"/>
        <w:jc w:val="both"/>
        <w:rPr>
          <w:lang w:val="es-CR"/>
        </w:rPr>
      </w:pPr>
      <w:r w:rsidRPr="00D94F08">
        <w:rPr>
          <w:lang w:val="es-CR"/>
        </w:rPr>
        <w:t>enfermedad (19,20).</w:t>
      </w:r>
    </w:p>
    <w:p w14:paraId="35964342" w14:textId="77777777" w:rsidR="00D94F08" w:rsidRPr="00D94F08" w:rsidRDefault="00D94F08" w:rsidP="00D94F08">
      <w:pPr>
        <w:autoSpaceDE w:val="0"/>
        <w:autoSpaceDN w:val="0"/>
        <w:adjustRightInd w:val="0"/>
        <w:jc w:val="both"/>
        <w:rPr>
          <w:lang w:val="es-CR"/>
        </w:rPr>
      </w:pPr>
      <w:r w:rsidRPr="00D94F08">
        <w:rPr>
          <w:lang w:val="es-CR"/>
        </w:rPr>
        <w:t>El caso descrito corresponde a una paciente femenina de 49 años, quien no tenía enfermedades conocidas previo al internamiento, pero que tenía historia de síntomas gastrointestinales, principalmente diarrea en el último año. La úlcera fue de aparición y de evolución rápidas, con las características compatibles de pioderma gangrenoso. Debido a que este es un diagnóstico de exclusión, se procedió a realizar los estudios necesarios para descartar otras patologías y se documentó la presencia de enfermedad sistémica, en este caso de CUCI.</w:t>
      </w:r>
    </w:p>
    <w:p w14:paraId="609F0F32" w14:textId="77777777" w:rsidR="00D94F08" w:rsidRPr="00D94F08" w:rsidRDefault="00D94F08" w:rsidP="00D94F08">
      <w:pPr>
        <w:autoSpaceDE w:val="0"/>
        <w:autoSpaceDN w:val="0"/>
        <w:adjustRightInd w:val="0"/>
        <w:jc w:val="both"/>
        <w:rPr>
          <w:lang w:val="es-CR"/>
        </w:rPr>
      </w:pPr>
    </w:p>
    <w:p w14:paraId="5116D14C" w14:textId="05B87FC6" w:rsidR="00D94F08" w:rsidRPr="00D94F08" w:rsidRDefault="00D94F08" w:rsidP="00D94F08">
      <w:pPr>
        <w:pStyle w:val="Ttulo"/>
      </w:pPr>
      <w:r w:rsidRPr="00D94F08">
        <w:t>CONCLUSI</w:t>
      </w:r>
      <w:r w:rsidR="003E0DDE">
        <w:t>ONES</w:t>
      </w:r>
    </w:p>
    <w:p w14:paraId="73682C2B" w14:textId="77777777" w:rsidR="00D94F08" w:rsidRPr="00D94F08" w:rsidRDefault="00D94F08" w:rsidP="00D94F08">
      <w:pPr>
        <w:autoSpaceDE w:val="0"/>
        <w:autoSpaceDN w:val="0"/>
        <w:adjustRightInd w:val="0"/>
        <w:jc w:val="both"/>
        <w:rPr>
          <w:lang w:val="es-CR"/>
        </w:rPr>
      </w:pPr>
      <w:r w:rsidRPr="00D94F08">
        <w:rPr>
          <w:lang w:val="es-CR"/>
        </w:rPr>
        <w:t xml:space="preserve">La asociación entre ambas entidades, CUCI y PG debe ser considerada en pacientes que presenten características de una u otra de estas enfermedades. Asimismo, en el paciente con una lesión dermatológica que aparezca de forma espontánea y con un curso agresivo, se debe considerar el PG, cuyo diagnóstico definitivo es mediante una biopsia. </w:t>
      </w:r>
    </w:p>
    <w:p w14:paraId="7E736C79" w14:textId="77777777" w:rsidR="00D94F08" w:rsidRPr="00D94F08" w:rsidRDefault="00D94F08" w:rsidP="00D94F08">
      <w:pPr>
        <w:autoSpaceDE w:val="0"/>
        <w:autoSpaceDN w:val="0"/>
        <w:adjustRightInd w:val="0"/>
        <w:jc w:val="both"/>
        <w:rPr>
          <w:lang w:val="es-CR"/>
        </w:rPr>
      </w:pPr>
      <w:r w:rsidRPr="00D94F08">
        <w:rPr>
          <w:lang w:val="es-CR"/>
        </w:rPr>
        <w:t>Entre los diagnósticos diferenciales es importante descartar otras etiologías. En el caso de presentar ambas entidades, se requiere de un abordaje multidisciplinario que disminuya las posibles complicaciones.</w:t>
      </w:r>
    </w:p>
    <w:p w14:paraId="2D154BBA" w14:textId="77777777" w:rsidR="00D94F08" w:rsidRPr="00D94F08" w:rsidRDefault="00D94F08" w:rsidP="00D94F08">
      <w:pPr>
        <w:autoSpaceDE w:val="0"/>
        <w:autoSpaceDN w:val="0"/>
        <w:adjustRightInd w:val="0"/>
        <w:jc w:val="both"/>
        <w:rPr>
          <w:lang w:val="es-CR"/>
        </w:rPr>
      </w:pPr>
    </w:p>
    <w:p w14:paraId="37769429" w14:textId="77777777" w:rsidR="0031108A" w:rsidRPr="00A05503" w:rsidRDefault="0031108A" w:rsidP="00A05503">
      <w:pPr>
        <w:pStyle w:val="Ttulo1"/>
      </w:pPr>
      <w:r w:rsidRPr="00A05503">
        <w:t>REFERENCIAS</w:t>
      </w:r>
    </w:p>
    <w:p w14:paraId="3F0E4FBB" w14:textId="04D06FEB"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Ungaro R, Mehandru S, Allen PB, Peyrin-Biroulet L, Colombel JF. Ulcerative</w:t>
      </w:r>
      <w:r w:rsidRPr="003E3987">
        <w:rPr>
          <w:sz w:val="20"/>
          <w:szCs w:val="20"/>
          <w:lang w:val="en-US"/>
        </w:rPr>
        <w:t xml:space="preserve"> </w:t>
      </w:r>
      <w:r w:rsidRPr="00297704">
        <w:rPr>
          <w:sz w:val="20"/>
          <w:szCs w:val="20"/>
          <w:lang w:val="en-US"/>
        </w:rPr>
        <w:t xml:space="preserve">colitis. </w:t>
      </w:r>
      <w:r w:rsidRPr="00297704">
        <w:rPr>
          <w:iCs/>
          <w:sz w:val="20"/>
          <w:szCs w:val="20"/>
          <w:lang w:val="en-US"/>
        </w:rPr>
        <w:t>Lancet</w:t>
      </w:r>
      <w:r w:rsidR="00B56C02">
        <w:rPr>
          <w:iCs/>
          <w:sz w:val="20"/>
          <w:szCs w:val="20"/>
          <w:lang w:val="en-US"/>
        </w:rPr>
        <w:t xml:space="preserve"> </w:t>
      </w:r>
      <w:r w:rsidR="00B56C02">
        <w:rPr>
          <w:sz w:val="20"/>
          <w:szCs w:val="20"/>
          <w:lang w:val="en-US"/>
        </w:rPr>
        <w:t>[Internet]</w:t>
      </w:r>
      <w:r w:rsidRPr="00297704">
        <w:rPr>
          <w:sz w:val="20"/>
          <w:szCs w:val="20"/>
          <w:lang w:val="en-US"/>
        </w:rPr>
        <w:t>. 2017</w:t>
      </w:r>
      <w:r w:rsidR="001E6C0B">
        <w:rPr>
          <w:sz w:val="20"/>
          <w:szCs w:val="20"/>
          <w:lang w:val="en-US"/>
        </w:rPr>
        <w:t xml:space="preserve"> (citado </w:t>
      </w:r>
      <w:r w:rsidR="009650E1">
        <w:rPr>
          <w:sz w:val="20"/>
          <w:szCs w:val="20"/>
          <w:lang w:val="en-US"/>
        </w:rPr>
        <w:t>15 noviembre 2023)</w:t>
      </w:r>
      <w:r w:rsidRPr="00297704">
        <w:rPr>
          <w:sz w:val="20"/>
          <w:szCs w:val="20"/>
          <w:lang w:val="en-US"/>
        </w:rPr>
        <w:t xml:space="preserve">;389(10080):1756-1770. </w:t>
      </w:r>
      <w:r>
        <w:rPr>
          <w:sz w:val="20"/>
          <w:szCs w:val="20"/>
          <w:lang w:val="en-US"/>
        </w:rPr>
        <w:t>DOI</w:t>
      </w:r>
      <w:r w:rsidRPr="00297704">
        <w:rPr>
          <w:sz w:val="20"/>
          <w:szCs w:val="20"/>
          <w:lang w:val="en-US"/>
        </w:rPr>
        <w:t>:</w:t>
      </w:r>
      <w:r>
        <w:rPr>
          <w:sz w:val="20"/>
          <w:szCs w:val="20"/>
          <w:lang w:val="en-US"/>
        </w:rPr>
        <w:t xml:space="preserve"> </w:t>
      </w:r>
      <w:r w:rsidRPr="00297704">
        <w:rPr>
          <w:sz w:val="20"/>
          <w:szCs w:val="20"/>
          <w:lang w:val="en-US"/>
        </w:rPr>
        <w:t>10.1016/S0140-6736(16)32126-2</w:t>
      </w:r>
    </w:p>
    <w:p w14:paraId="23159493" w14:textId="3E85AE60" w:rsidR="00D94F08" w:rsidRPr="001E6C0B" w:rsidRDefault="00D94F08" w:rsidP="00D94F08">
      <w:pPr>
        <w:pStyle w:val="Prrafodelista"/>
        <w:numPr>
          <w:ilvl w:val="0"/>
          <w:numId w:val="19"/>
        </w:numPr>
        <w:autoSpaceDE w:val="0"/>
        <w:autoSpaceDN w:val="0"/>
        <w:adjustRightInd w:val="0"/>
        <w:ind w:left="284" w:hanging="284"/>
        <w:jc w:val="both"/>
        <w:rPr>
          <w:sz w:val="20"/>
          <w:szCs w:val="20"/>
          <w:lang w:val="es-CR"/>
        </w:rPr>
      </w:pPr>
      <w:r w:rsidRPr="00297704">
        <w:rPr>
          <w:sz w:val="20"/>
          <w:szCs w:val="20"/>
          <w:lang w:val="en-US"/>
        </w:rPr>
        <w:t xml:space="preserve">Gros B, Kaplan GG. Ulcerative Colitis in Adults: A Review. </w:t>
      </w:r>
      <w:r w:rsidRPr="001E6C0B">
        <w:rPr>
          <w:iCs/>
          <w:sz w:val="20"/>
          <w:szCs w:val="20"/>
          <w:lang w:val="es-CR"/>
        </w:rPr>
        <w:t>JAMA</w:t>
      </w:r>
      <w:r w:rsidR="00B56C02" w:rsidRPr="001E6C0B">
        <w:rPr>
          <w:iCs/>
          <w:sz w:val="20"/>
          <w:szCs w:val="20"/>
          <w:lang w:val="es-CR"/>
        </w:rPr>
        <w:t xml:space="preserve"> </w:t>
      </w:r>
      <w:r w:rsidR="00B56C02" w:rsidRPr="001E6C0B">
        <w:rPr>
          <w:sz w:val="20"/>
          <w:szCs w:val="20"/>
          <w:lang w:val="es-CR"/>
        </w:rPr>
        <w:t>[Internet]</w:t>
      </w:r>
      <w:r w:rsidRPr="001E6C0B">
        <w:rPr>
          <w:sz w:val="20"/>
          <w:szCs w:val="20"/>
          <w:lang w:val="es-CR"/>
        </w:rPr>
        <w:t xml:space="preserve">. </w:t>
      </w:r>
      <w:r w:rsidR="001E6C0B" w:rsidRPr="001E6C0B">
        <w:rPr>
          <w:sz w:val="20"/>
          <w:szCs w:val="20"/>
          <w:lang w:val="es-CR"/>
        </w:rPr>
        <w:t>12 s</w:t>
      </w:r>
      <w:r w:rsidRPr="001E6C0B">
        <w:rPr>
          <w:sz w:val="20"/>
          <w:szCs w:val="20"/>
          <w:lang w:val="es-CR"/>
        </w:rPr>
        <w:t>ep</w:t>
      </w:r>
      <w:r w:rsidR="001E6C0B" w:rsidRPr="001E6C0B">
        <w:rPr>
          <w:sz w:val="20"/>
          <w:szCs w:val="20"/>
          <w:lang w:val="es-CR"/>
        </w:rPr>
        <w:t>tiembre</w:t>
      </w:r>
      <w:r w:rsidRPr="001E6C0B">
        <w:rPr>
          <w:sz w:val="20"/>
          <w:szCs w:val="20"/>
          <w:lang w:val="es-CR"/>
        </w:rPr>
        <w:t xml:space="preserve"> 2023</w:t>
      </w:r>
      <w:r w:rsidR="009650E1">
        <w:rPr>
          <w:sz w:val="20"/>
          <w:szCs w:val="20"/>
          <w:lang w:val="en-US"/>
        </w:rPr>
        <w:t xml:space="preserve"> (citado 15 noviembre 2023)</w:t>
      </w:r>
      <w:r w:rsidRPr="001E6C0B">
        <w:rPr>
          <w:sz w:val="20"/>
          <w:szCs w:val="20"/>
          <w:lang w:val="es-CR"/>
        </w:rPr>
        <w:t>;330(10):951-965. DOI: 10.1001/jama.2023.15389</w:t>
      </w:r>
    </w:p>
    <w:p w14:paraId="0DF18480" w14:textId="297F6082"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Weizman AV, Huang B, Targan S</w:t>
      </w:r>
      <w:r w:rsidRPr="003E3987">
        <w:rPr>
          <w:sz w:val="20"/>
          <w:szCs w:val="20"/>
          <w:lang w:val="en-US"/>
        </w:rPr>
        <w:t>,</w:t>
      </w:r>
      <w:r w:rsidRPr="00297704">
        <w:rPr>
          <w:sz w:val="20"/>
          <w:szCs w:val="20"/>
          <w:lang w:val="en-US"/>
        </w:rPr>
        <w:t xml:space="preserve"> et al. Pyoderma gangrenosum among patients with</w:t>
      </w:r>
      <w:r w:rsidRPr="003E3987">
        <w:rPr>
          <w:sz w:val="20"/>
          <w:szCs w:val="20"/>
          <w:lang w:val="en-US"/>
        </w:rPr>
        <w:t xml:space="preserve"> </w:t>
      </w:r>
      <w:r w:rsidRPr="00297704">
        <w:rPr>
          <w:sz w:val="20"/>
          <w:szCs w:val="20"/>
          <w:lang w:val="en-US"/>
        </w:rPr>
        <w:t xml:space="preserve">inflammatory bowel disease: a descriptive cohort study. </w:t>
      </w:r>
      <w:r w:rsidRPr="00297704">
        <w:rPr>
          <w:iCs/>
          <w:sz w:val="20"/>
          <w:szCs w:val="20"/>
          <w:lang w:val="en-US"/>
        </w:rPr>
        <w:t>J Cutan Med Surg</w:t>
      </w:r>
      <w:r w:rsidRPr="00297704">
        <w:rPr>
          <w:sz w:val="20"/>
          <w:szCs w:val="20"/>
          <w:lang w:val="en-US"/>
        </w:rPr>
        <w:t>.</w:t>
      </w:r>
      <w:r w:rsidRPr="003E3987">
        <w:rPr>
          <w:sz w:val="20"/>
          <w:szCs w:val="20"/>
          <w:lang w:val="en-US"/>
        </w:rPr>
        <w:t xml:space="preserve"> </w:t>
      </w:r>
      <w:r w:rsidR="00B56C02">
        <w:rPr>
          <w:sz w:val="20"/>
          <w:szCs w:val="20"/>
          <w:lang w:val="en-US"/>
        </w:rPr>
        <w:t>[Internet]</w:t>
      </w:r>
      <w:r w:rsidR="00B56C02">
        <w:rPr>
          <w:sz w:val="20"/>
          <w:szCs w:val="20"/>
          <w:lang w:val="en-US"/>
        </w:rPr>
        <w:t xml:space="preserve">. </w:t>
      </w:r>
      <w:r w:rsidRPr="00297704">
        <w:rPr>
          <w:sz w:val="20"/>
          <w:szCs w:val="20"/>
          <w:lang w:val="en-US"/>
        </w:rPr>
        <w:t>2015</w:t>
      </w:r>
      <w:r w:rsidR="009650E1">
        <w:rPr>
          <w:sz w:val="20"/>
          <w:szCs w:val="20"/>
          <w:lang w:val="en-US"/>
        </w:rPr>
        <w:t xml:space="preserve"> (citado 15 noviembre 2023)</w:t>
      </w:r>
      <w:r w:rsidRPr="00297704">
        <w:rPr>
          <w:sz w:val="20"/>
          <w:szCs w:val="20"/>
          <w:lang w:val="en-US"/>
        </w:rPr>
        <w:t xml:space="preserve">;19(2):125-131. </w:t>
      </w:r>
      <w:r>
        <w:rPr>
          <w:sz w:val="20"/>
          <w:szCs w:val="20"/>
          <w:lang w:val="en-US"/>
        </w:rPr>
        <w:t>DOI</w:t>
      </w:r>
      <w:r w:rsidRPr="00297704">
        <w:rPr>
          <w:sz w:val="20"/>
          <w:szCs w:val="20"/>
          <w:lang w:val="en-US"/>
        </w:rPr>
        <w:t>:</w:t>
      </w:r>
      <w:r>
        <w:rPr>
          <w:sz w:val="20"/>
          <w:szCs w:val="20"/>
          <w:lang w:val="en-US"/>
        </w:rPr>
        <w:t xml:space="preserve"> </w:t>
      </w:r>
      <w:r w:rsidRPr="00297704">
        <w:rPr>
          <w:sz w:val="20"/>
          <w:szCs w:val="20"/>
          <w:lang w:val="en-US"/>
        </w:rPr>
        <w:t>10.2310/7750.2014.14053</w:t>
      </w:r>
    </w:p>
    <w:p w14:paraId="0574E5B7" w14:textId="16A62795"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Plumptre I, Knabel D, Tomecki K. Pyoderma Gangrenosum: A Review for the</w:t>
      </w:r>
      <w:r w:rsidRPr="003A6D38">
        <w:rPr>
          <w:sz w:val="20"/>
          <w:szCs w:val="20"/>
          <w:lang w:val="en-US"/>
        </w:rPr>
        <w:t xml:space="preserve"> </w:t>
      </w:r>
      <w:r w:rsidRPr="00297704">
        <w:rPr>
          <w:sz w:val="20"/>
          <w:szCs w:val="20"/>
          <w:lang w:val="en-US"/>
        </w:rPr>
        <w:t xml:space="preserve">Gastroenterologist. </w:t>
      </w:r>
      <w:r w:rsidRPr="00297704">
        <w:rPr>
          <w:iCs/>
          <w:sz w:val="20"/>
          <w:szCs w:val="20"/>
          <w:lang w:val="en-US"/>
        </w:rPr>
        <w:t>Inflamm Bowel Dis</w:t>
      </w:r>
      <w:r w:rsidRPr="00297704">
        <w:rPr>
          <w:sz w:val="20"/>
          <w:szCs w:val="20"/>
          <w:lang w:val="en-US"/>
        </w:rPr>
        <w:t xml:space="preserve">. </w:t>
      </w:r>
      <w:r w:rsidR="00B56C02">
        <w:rPr>
          <w:sz w:val="20"/>
          <w:szCs w:val="20"/>
          <w:lang w:val="en-US"/>
        </w:rPr>
        <w:t>[Internet]</w:t>
      </w:r>
      <w:r w:rsidR="00B56C02">
        <w:rPr>
          <w:sz w:val="20"/>
          <w:szCs w:val="20"/>
          <w:lang w:val="en-US"/>
        </w:rPr>
        <w:t xml:space="preserve">. </w:t>
      </w:r>
      <w:r w:rsidRPr="00297704">
        <w:rPr>
          <w:sz w:val="20"/>
          <w:szCs w:val="20"/>
          <w:lang w:val="en-US"/>
        </w:rPr>
        <w:t>2018</w:t>
      </w:r>
      <w:r w:rsidR="009650E1">
        <w:rPr>
          <w:sz w:val="20"/>
          <w:szCs w:val="20"/>
          <w:lang w:val="en-US"/>
        </w:rPr>
        <w:t xml:space="preserve"> (citado 15 noviembre 2023)</w:t>
      </w:r>
      <w:r w:rsidRPr="00297704">
        <w:rPr>
          <w:sz w:val="20"/>
          <w:szCs w:val="20"/>
          <w:lang w:val="en-US"/>
        </w:rPr>
        <w:t xml:space="preserve">;24(12):2510-2517. </w:t>
      </w:r>
      <w:r>
        <w:rPr>
          <w:sz w:val="20"/>
          <w:szCs w:val="20"/>
          <w:lang w:val="en-US"/>
        </w:rPr>
        <w:t>DOI</w:t>
      </w:r>
      <w:r w:rsidRPr="00297704">
        <w:rPr>
          <w:sz w:val="20"/>
          <w:szCs w:val="20"/>
          <w:lang w:val="en-US"/>
        </w:rPr>
        <w:t>:</w:t>
      </w:r>
      <w:r>
        <w:rPr>
          <w:sz w:val="20"/>
          <w:szCs w:val="20"/>
          <w:lang w:val="en-US"/>
        </w:rPr>
        <w:t xml:space="preserve"> </w:t>
      </w:r>
      <w:r w:rsidRPr="00297704">
        <w:rPr>
          <w:sz w:val="20"/>
          <w:szCs w:val="20"/>
          <w:lang w:val="en-US"/>
        </w:rPr>
        <w:t>10.1093/ibd/izy174</w:t>
      </w:r>
    </w:p>
    <w:p w14:paraId="709D4E55" w14:textId="7F49361F" w:rsidR="00D94F08" w:rsidRPr="00297704" w:rsidRDefault="00D94F08" w:rsidP="00D94F08">
      <w:pPr>
        <w:pStyle w:val="Prrafodelista"/>
        <w:numPr>
          <w:ilvl w:val="0"/>
          <w:numId w:val="19"/>
        </w:numPr>
        <w:autoSpaceDE w:val="0"/>
        <w:autoSpaceDN w:val="0"/>
        <w:adjustRightInd w:val="0"/>
        <w:ind w:left="284" w:hanging="284"/>
        <w:jc w:val="both"/>
        <w:rPr>
          <w:sz w:val="20"/>
          <w:szCs w:val="20"/>
        </w:rPr>
      </w:pPr>
      <w:r w:rsidRPr="00D94F08">
        <w:rPr>
          <w:sz w:val="20"/>
          <w:szCs w:val="20"/>
          <w:lang w:val="es-CR"/>
        </w:rPr>
        <w:t xml:space="preserve">Figueras Nart I, Martín-Sala S, Álvarez-Abella A, Jucglà Serra A. Pioderma gangrenoso. </w:t>
      </w:r>
      <w:r w:rsidRPr="00297704">
        <w:rPr>
          <w:iCs/>
          <w:sz w:val="20"/>
          <w:szCs w:val="20"/>
        </w:rPr>
        <w:t>Piel</w:t>
      </w:r>
      <w:r w:rsidR="00B56C02">
        <w:rPr>
          <w:iCs/>
          <w:sz w:val="20"/>
          <w:szCs w:val="20"/>
        </w:rPr>
        <w:t xml:space="preserve"> </w:t>
      </w:r>
      <w:r w:rsidR="00B56C02">
        <w:rPr>
          <w:sz w:val="20"/>
          <w:szCs w:val="20"/>
          <w:lang w:val="en-US"/>
        </w:rPr>
        <w:t>[Internet]</w:t>
      </w:r>
      <w:r w:rsidRPr="00297704">
        <w:rPr>
          <w:sz w:val="20"/>
          <w:szCs w:val="20"/>
        </w:rPr>
        <w:t>. 2012</w:t>
      </w:r>
      <w:r w:rsidR="009650E1">
        <w:rPr>
          <w:sz w:val="20"/>
          <w:szCs w:val="20"/>
          <w:lang w:val="en-US"/>
        </w:rPr>
        <w:t xml:space="preserve"> (citado 15 noviembre 2023)</w:t>
      </w:r>
      <w:r w:rsidRPr="00297704">
        <w:rPr>
          <w:sz w:val="20"/>
          <w:szCs w:val="20"/>
        </w:rPr>
        <w:t xml:space="preserve">;27(3):132–144. </w:t>
      </w:r>
      <w:r>
        <w:rPr>
          <w:sz w:val="20"/>
          <w:szCs w:val="20"/>
        </w:rPr>
        <w:t>DOI</w:t>
      </w:r>
      <w:r w:rsidRPr="00297704">
        <w:rPr>
          <w:sz w:val="20"/>
          <w:szCs w:val="20"/>
        </w:rPr>
        <w:t>: 10.1016/j.piel.2011.10.012</w:t>
      </w:r>
    </w:p>
    <w:p w14:paraId="5DD2FD33" w14:textId="36AE4FE7"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 xml:space="preserve">Ford AC, Moayyedi P, Hanauer SB. Ulcerative colitis. </w:t>
      </w:r>
      <w:r w:rsidRPr="009650E1">
        <w:rPr>
          <w:iCs/>
          <w:sz w:val="20"/>
          <w:szCs w:val="20"/>
          <w:lang w:val="es-CR"/>
        </w:rPr>
        <w:t>BMJ</w:t>
      </w:r>
      <w:r w:rsidR="00B56C02" w:rsidRPr="009650E1">
        <w:rPr>
          <w:iCs/>
          <w:sz w:val="20"/>
          <w:szCs w:val="20"/>
          <w:lang w:val="es-CR"/>
        </w:rPr>
        <w:t xml:space="preserve"> </w:t>
      </w:r>
      <w:r w:rsidR="00B56C02" w:rsidRPr="009650E1">
        <w:rPr>
          <w:sz w:val="20"/>
          <w:szCs w:val="20"/>
          <w:lang w:val="es-CR"/>
        </w:rPr>
        <w:t>[Internet]</w:t>
      </w:r>
      <w:r w:rsidRPr="009650E1">
        <w:rPr>
          <w:sz w:val="20"/>
          <w:szCs w:val="20"/>
          <w:lang w:val="es-CR"/>
        </w:rPr>
        <w:t>. 2013</w:t>
      </w:r>
      <w:r w:rsidR="009650E1" w:rsidRPr="009650E1">
        <w:rPr>
          <w:sz w:val="20"/>
          <w:szCs w:val="20"/>
          <w:lang w:val="es-CR"/>
        </w:rPr>
        <w:t xml:space="preserve"> (citado 15 noviembre 2023)</w:t>
      </w:r>
      <w:r w:rsidRPr="009650E1">
        <w:rPr>
          <w:sz w:val="20"/>
          <w:szCs w:val="20"/>
          <w:lang w:val="es-CR"/>
        </w:rPr>
        <w:t xml:space="preserve">;346:f432. </w:t>
      </w:r>
      <w:r>
        <w:rPr>
          <w:sz w:val="20"/>
          <w:szCs w:val="20"/>
          <w:lang w:val="en-US"/>
        </w:rPr>
        <w:t>DOI</w:t>
      </w:r>
      <w:r w:rsidRPr="00297704">
        <w:rPr>
          <w:sz w:val="20"/>
          <w:szCs w:val="20"/>
          <w:lang w:val="en-US"/>
        </w:rPr>
        <w:t>:10.1136/bmj.f432</w:t>
      </w:r>
    </w:p>
    <w:p w14:paraId="02488425" w14:textId="583C2882"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Ordás I, Eckmann L, Talamini M, Baumgart DC, Sandborn WJ. Ulcerative</w:t>
      </w:r>
      <w:r w:rsidRPr="003A6D38">
        <w:rPr>
          <w:sz w:val="20"/>
          <w:szCs w:val="20"/>
          <w:lang w:val="en-US"/>
        </w:rPr>
        <w:t xml:space="preserve"> </w:t>
      </w:r>
      <w:r w:rsidRPr="00297704">
        <w:rPr>
          <w:sz w:val="20"/>
          <w:szCs w:val="20"/>
          <w:lang w:val="en-US"/>
        </w:rPr>
        <w:t xml:space="preserve">colitis. </w:t>
      </w:r>
      <w:r w:rsidRPr="00297704">
        <w:rPr>
          <w:iCs/>
          <w:sz w:val="20"/>
          <w:szCs w:val="20"/>
          <w:lang w:val="en-US"/>
        </w:rPr>
        <w:t>Lancet</w:t>
      </w:r>
      <w:r w:rsidR="00B56C02">
        <w:rPr>
          <w:iCs/>
          <w:sz w:val="20"/>
          <w:szCs w:val="20"/>
          <w:lang w:val="en-US"/>
        </w:rPr>
        <w:t xml:space="preserve"> </w:t>
      </w:r>
      <w:r w:rsidR="00B56C02">
        <w:rPr>
          <w:sz w:val="20"/>
          <w:szCs w:val="20"/>
          <w:lang w:val="en-US"/>
        </w:rPr>
        <w:t>[Internet]</w:t>
      </w:r>
      <w:r w:rsidRPr="00297704">
        <w:rPr>
          <w:sz w:val="20"/>
          <w:szCs w:val="20"/>
          <w:lang w:val="en-US"/>
        </w:rPr>
        <w:t>. 2012</w:t>
      </w:r>
      <w:r w:rsidR="009650E1">
        <w:rPr>
          <w:sz w:val="20"/>
          <w:szCs w:val="20"/>
          <w:lang w:val="en-US"/>
        </w:rPr>
        <w:t xml:space="preserve"> (citado 15 noviembre 2023)</w:t>
      </w:r>
      <w:r w:rsidRPr="00297704">
        <w:rPr>
          <w:sz w:val="20"/>
          <w:szCs w:val="20"/>
          <w:lang w:val="en-US"/>
        </w:rPr>
        <w:t xml:space="preserve">;380(9853):1606-19. </w:t>
      </w:r>
      <w:r>
        <w:rPr>
          <w:sz w:val="20"/>
          <w:szCs w:val="20"/>
          <w:lang w:val="en-US"/>
        </w:rPr>
        <w:t>DOI</w:t>
      </w:r>
      <w:r w:rsidRPr="00297704">
        <w:rPr>
          <w:sz w:val="20"/>
          <w:szCs w:val="20"/>
          <w:lang w:val="en-US"/>
        </w:rPr>
        <w:t>:</w:t>
      </w:r>
      <w:r>
        <w:rPr>
          <w:sz w:val="20"/>
          <w:szCs w:val="20"/>
          <w:lang w:val="en-US"/>
        </w:rPr>
        <w:t xml:space="preserve"> </w:t>
      </w:r>
      <w:r w:rsidRPr="00297704">
        <w:rPr>
          <w:sz w:val="20"/>
          <w:szCs w:val="20"/>
          <w:lang w:val="en-US"/>
        </w:rPr>
        <w:t>10.1016/S0140-6736(12)60150</w:t>
      </w:r>
    </w:p>
    <w:p w14:paraId="33022129" w14:textId="68F46377"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Rubin DT, Ananthakrishnan AN, Siegel CA, Sauer BG, Long MD. ACG Clinical</w:t>
      </w:r>
      <w:r w:rsidRPr="003A6D38">
        <w:rPr>
          <w:sz w:val="20"/>
          <w:szCs w:val="20"/>
          <w:lang w:val="en-US"/>
        </w:rPr>
        <w:t xml:space="preserve"> </w:t>
      </w:r>
      <w:r w:rsidRPr="00297704">
        <w:rPr>
          <w:sz w:val="20"/>
          <w:szCs w:val="20"/>
          <w:lang w:val="en-US"/>
        </w:rPr>
        <w:t xml:space="preserve">Guideline: Ulcerative Colitis in Adults. </w:t>
      </w:r>
      <w:r w:rsidRPr="00297704">
        <w:rPr>
          <w:iCs/>
          <w:sz w:val="20"/>
          <w:szCs w:val="20"/>
          <w:lang w:val="en-US"/>
        </w:rPr>
        <w:t>Am J Gastroenterol</w:t>
      </w:r>
      <w:r w:rsidR="00B56C02">
        <w:rPr>
          <w:iCs/>
          <w:sz w:val="20"/>
          <w:szCs w:val="20"/>
          <w:lang w:val="en-US"/>
        </w:rPr>
        <w:t xml:space="preserve"> </w:t>
      </w:r>
      <w:r w:rsidR="00B56C02">
        <w:rPr>
          <w:sz w:val="20"/>
          <w:szCs w:val="20"/>
          <w:lang w:val="en-US"/>
        </w:rPr>
        <w:t>[Internet]</w:t>
      </w:r>
      <w:r w:rsidRPr="00297704">
        <w:rPr>
          <w:sz w:val="20"/>
          <w:szCs w:val="20"/>
          <w:lang w:val="en-US"/>
        </w:rPr>
        <w:t xml:space="preserve">. </w:t>
      </w:r>
      <w:r>
        <w:rPr>
          <w:sz w:val="20"/>
          <w:szCs w:val="20"/>
          <w:lang w:val="en-US"/>
        </w:rPr>
        <w:t>Mar</w:t>
      </w:r>
      <w:r w:rsidR="00F628B4">
        <w:rPr>
          <w:sz w:val="20"/>
          <w:szCs w:val="20"/>
          <w:lang w:val="en-US"/>
        </w:rPr>
        <w:t>zo</w:t>
      </w:r>
      <w:r>
        <w:rPr>
          <w:sz w:val="20"/>
          <w:szCs w:val="20"/>
          <w:lang w:val="en-US"/>
        </w:rPr>
        <w:t xml:space="preserve"> </w:t>
      </w:r>
      <w:r w:rsidRPr="00297704">
        <w:rPr>
          <w:sz w:val="20"/>
          <w:szCs w:val="20"/>
          <w:lang w:val="en-US"/>
        </w:rPr>
        <w:t>2019</w:t>
      </w:r>
      <w:r w:rsidR="009650E1">
        <w:rPr>
          <w:sz w:val="20"/>
          <w:szCs w:val="20"/>
          <w:lang w:val="en-US"/>
        </w:rPr>
        <w:t xml:space="preserve"> (citado </w:t>
      </w:r>
      <w:r w:rsidR="009650E1">
        <w:rPr>
          <w:sz w:val="20"/>
          <w:szCs w:val="20"/>
          <w:lang w:val="en-US"/>
        </w:rPr>
        <w:lastRenderedPageBreak/>
        <w:t>15 noviembre 2023)</w:t>
      </w:r>
      <w:r w:rsidRPr="00297704">
        <w:rPr>
          <w:sz w:val="20"/>
          <w:szCs w:val="20"/>
          <w:lang w:val="en-US"/>
        </w:rPr>
        <w:t>;114(3):384-413.</w:t>
      </w:r>
      <w:r w:rsidRPr="003A6D38">
        <w:rPr>
          <w:sz w:val="20"/>
          <w:szCs w:val="20"/>
          <w:lang w:val="en-US"/>
        </w:rPr>
        <w:t xml:space="preserve"> </w:t>
      </w:r>
      <w:r>
        <w:rPr>
          <w:sz w:val="20"/>
          <w:szCs w:val="20"/>
          <w:lang w:val="en-US"/>
        </w:rPr>
        <w:t>DOI</w:t>
      </w:r>
      <w:r w:rsidRPr="00297704">
        <w:rPr>
          <w:sz w:val="20"/>
          <w:szCs w:val="20"/>
          <w:lang w:val="en-US"/>
        </w:rPr>
        <w:t>:</w:t>
      </w:r>
      <w:r>
        <w:rPr>
          <w:sz w:val="20"/>
          <w:szCs w:val="20"/>
          <w:lang w:val="en-US"/>
        </w:rPr>
        <w:t xml:space="preserve"> </w:t>
      </w:r>
      <w:r w:rsidRPr="00297704">
        <w:rPr>
          <w:sz w:val="20"/>
          <w:szCs w:val="20"/>
          <w:lang w:val="en-US"/>
        </w:rPr>
        <w:t>10.14309/ajg.0000000000000152</w:t>
      </w:r>
    </w:p>
    <w:p w14:paraId="73BEF1B1" w14:textId="10206D7E"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Kucharzik T, Koletzko S, Kannengiesser K, Dignass A. Ulcerative Colitis-Diagnostic</w:t>
      </w:r>
      <w:r w:rsidRPr="003A6D38">
        <w:rPr>
          <w:sz w:val="20"/>
          <w:szCs w:val="20"/>
          <w:lang w:val="en-US"/>
        </w:rPr>
        <w:t xml:space="preserve"> </w:t>
      </w:r>
      <w:r w:rsidRPr="00297704">
        <w:rPr>
          <w:sz w:val="20"/>
          <w:szCs w:val="20"/>
          <w:lang w:val="en-US"/>
        </w:rPr>
        <w:t xml:space="preserve">and Therapeutic Algorithms. </w:t>
      </w:r>
      <w:r w:rsidRPr="00297704">
        <w:rPr>
          <w:iCs/>
          <w:sz w:val="20"/>
          <w:szCs w:val="20"/>
          <w:lang w:val="en-US"/>
        </w:rPr>
        <w:t>Dtsch Arztebl Int</w:t>
      </w:r>
      <w:r w:rsidRPr="00297704">
        <w:rPr>
          <w:sz w:val="20"/>
          <w:szCs w:val="20"/>
          <w:lang w:val="en-US"/>
        </w:rPr>
        <w:t>.</w:t>
      </w:r>
      <w:r w:rsidRPr="003A6D38">
        <w:rPr>
          <w:sz w:val="20"/>
          <w:szCs w:val="20"/>
          <w:lang w:val="en-US"/>
        </w:rPr>
        <w:t xml:space="preserve"> </w:t>
      </w:r>
      <w:r w:rsidR="00B56C02">
        <w:rPr>
          <w:sz w:val="20"/>
          <w:szCs w:val="20"/>
          <w:lang w:val="en-US"/>
        </w:rPr>
        <w:t>[Internet]</w:t>
      </w:r>
      <w:r w:rsidR="00B56C02">
        <w:rPr>
          <w:sz w:val="20"/>
          <w:szCs w:val="20"/>
          <w:lang w:val="en-US"/>
        </w:rPr>
        <w:t xml:space="preserve">. </w:t>
      </w:r>
      <w:r w:rsidR="00F628B4">
        <w:rPr>
          <w:sz w:val="20"/>
          <w:szCs w:val="20"/>
          <w:lang w:val="en-US"/>
        </w:rPr>
        <w:t>17 agosto</w:t>
      </w:r>
      <w:r w:rsidRPr="00297704">
        <w:rPr>
          <w:sz w:val="20"/>
          <w:szCs w:val="20"/>
          <w:lang w:val="en-US"/>
        </w:rPr>
        <w:t xml:space="preserve"> 2020</w:t>
      </w:r>
      <w:r w:rsidR="009650E1">
        <w:rPr>
          <w:sz w:val="20"/>
          <w:szCs w:val="20"/>
          <w:lang w:val="en-US"/>
        </w:rPr>
        <w:t xml:space="preserve"> (citado 15 noviembre 2023)</w:t>
      </w:r>
      <w:r w:rsidRPr="00297704">
        <w:rPr>
          <w:sz w:val="20"/>
          <w:szCs w:val="20"/>
          <w:lang w:val="en-US"/>
        </w:rPr>
        <w:t xml:space="preserve">;117(33-34):564-574. </w:t>
      </w:r>
      <w:r w:rsidRPr="003A6D38">
        <w:rPr>
          <w:sz w:val="20"/>
          <w:szCs w:val="20"/>
          <w:lang w:val="en-US"/>
        </w:rPr>
        <w:t>DOI</w:t>
      </w:r>
      <w:r w:rsidRPr="00297704">
        <w:rPr>
          <w:sz w:val="20"/>
          <w:szCs w:val="20"/>
          <w:lang w:val="en-US"/>
        </w:rPr>
        <w:t>:</w:t>
      </w:r>
      <w:r w:rsidRPr="003A6D38">
        <w:rPr>
          <w:sz w:val="20"/>
          <w:szCs w:val="20"/>
          <w:lang w:val="en-US"/>
        </w:rPr>
        <w:t xml:space="preserve"> </w:t>
      </w:r>
      <w:r w:rsidRPr="00297704">
        <w:rPr>
          <w:sz w:val="20"/>
          <w:szCs w:val="20"/>
          <w:lang w:val="en-US"/>
        </w:rPr>
        <w:t>10.3238/arztebl.2020.0564</w:t>
      </w:r>
    </w:p>
    <w:p w14:paraId="7F4B154C" w14:textId="32B10B96"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Ferretti F, Cannatelli R, Monico MC, Maconi G, Ardizzone S. An Update on Current</w:t>
      </w:r>
      <w:r w:rsidRPr="00754D97">
        <w:rPr>
          <w:sz w:val="20"/>
          <w:szCs w:val="20"/>
          <w:lang w:val="en-US"/>
        </w:rPr>
        <w:t xml:space="preserve"> </w:t>
      </w:r>
      <w:r w:rsidRPr="00297704">
        <w:rPr>
          <w:sz w:val="20"/>
          <w:szCs w:val="20"/>
          <w:lang w:val="en-US"/>
        </w:rPr>
        <w:t xml:space="preserve">Pharmacotherapeutic Options for the Treatment of Ulcerative Colitis. </w:t>
      </w:r>
      <w:r w:rsidRPr="00297704">
        <w:rPr>
          <w:iCs/>
          <w:sz w:val="20"/>
          <w:szCs w:val="20"/>
          <w:lang w:val="en-US"/>
        </w:rPr>
        <w:t>J Clin Med</w:t>
      </w:r>
      <w:r w:rsidRPr="00297704">
        <w:rPr>
          <w:sz w:val="20"/>
          <w:szCs w:val="20"/>
          <w:lang w:val="en-US"/>
        </w:rPr>
        <w:t xml:space="preserve">. </w:t>
      </w:r>
      <w:r w:rsidR="00B56C02">
        <w:rPr>
          <w:sz w:val="20"/>
          <w:szCs w:val="20"/>
          <w:lang w:val="en-US"/>
        </w:rPr>
        <w:t>[Internet]</w:t>
      </w:r>
      <w:r w:rsidR="00B56C02">
        <w:rPr>
          <w:sz w:val="20"/>
          <w:szCs w:val="20"/>
          <w:lang w:val="en-US"/>
        </w:rPr>
        <w:t xml:space="preserve">. </w:t>
      </w:r>
      <w:r w:rsidR="00F628B4">
        <w:rPr>
          <w:sz w:val="20"/>
          <w:szCs w:val="20"/>
          <w:lang w:val="en-US"/>
        </w:rPr>
        <w:t>20 abril</w:t>
      </w:r>
      <w:r>
        <w:rPr>
          <w:sz w:val="20"/>
          <w:szCs w:val="20"/>
          <w:lang w:val="en-US"/>
        </w:rPr>
        <w:t xml:space="preserve"> 2022</w:t>
      </w:r>
      <w:r w:rsidR="009650E1">
        <w:rPr>
          <w:sz w:val="20"/>
          <w:szCs w:val="20"/>
          <w:lang w:val="en-US"/>
        </w:rPr>
        <w:t xml:space="preserve"> (citado 15 noviembre 2023)</w:t>
      </w:r>
      <w:r w:rsidRPr="00297704">
        <w:rPr>
          <w:sz w:val="20"/>
          <w:szCs w:val="20"/>
          <w:lang w:val="en-US"/>
        </w:rPr>
        <w:t xml:space="preserve">;11(9):2302. </w:t>
      </w:r>
      <w:r>
        <w:rPr>
          <w:sz w:val="20"/>
          <w:szCs w:val="20"/>
          <w:lang w:val="en-US"/>
        </w:rPr>
        <w:t>DOI</w:t>
      </w:r>
      <w:r w:rsidRPr="00297704">
        <w:rPr>
          <w:sz w:val="20"/>
          <w:szCs w:val="20"/>
          <w:lang w:val="en-US"/>
        </w:rPr>
        <w:t>: 10.3390/jcm11092302</w:t>
      </w:r>
    </w:p>
    <w:p w14:paraId="7E7D0A81" w14:textId="010E0804" w:rsidR="00D94F08" w:rsidRPr="009650E1" w:rsidRDefault="00D94F08" w:rsidP="00D94F08">
      <w:pPr>
        <w:pStyle w:val="Prrafodelista"/>
        <w:numPr>
          <w:ilvl w:val="0"/>
          <w:numId w:val="19"/>
        </w:numPr>
        <w:autoSpaceDE w:val="0"/>
        <w:autoSpaceDN w:val="0"/>
        <w:adjustRightInd w:val="0"/>
        <w:ind w:left="284" w:hanging="284"/>
        <w:jc w:val="both"/>
        <w:rPr>
          <w:sz w:val="20"/>
          <w:szCs w:val="20"/>
          <w:lang w:val="es-CR"/>
        </w:rPr>
      </w:pPr>
      <w:r w:rsidRPr="009650E1">
        <w:rPr>
          <w:sz w:val="20"/>
          <w:szCs w:val="20"/>
          <w:lang w:val="es-CR"/>
        </w:rPr>
        <w:t xml:space="preserve">Wollina U. Pyoderma gangrenosum--a review. </w:t>
      </w:r>
      <w:r w:rsidRPr="009650E1">
        <w:rPr>
          <w:iCs/>
          <w:sz w:val="20"/>
          <w:szCs w:val="20"/>
          <w:lang w:val="es-CR"/>
        </w:rPr>
        <w:t>Orphanet J Rare Dis</w:t>
      </w:r>
      <w:r w:rsidRPr="009650E1">
        <w:rPr>
          <w:sz w:val="20"/>
          <w:szCs w:val="20"/>
          <w:lang w:val="es-CR"/>
        </w:rPr>
        <w:t xml:space="preserve">. </w:t>
      </w:r>
      <w:r w:rsidR="00B56C02" w:rsidRPr="009650E1">
        <w:rPr>
          <w:sz w:val="20"/>
          <w:szCs w:val="20"/>
          <w:lang w:val="es-CR"/>
        </w:rPr>
        <w:t>[Internet]</w:t>
      </w:r>
      <w:r w:rsidR="00B56C02" w:rsidRPr="009650E1">
        <w:rPr>
          <w:sz w:val="20"/>
          <w:szCs w:val="20"/>
          <w:lang w:val="es-CR"/>
        </w:rPr>
        <w:t xml:space="preserve">. </w:t>
      </w:r>
      <w:r w:rsidRPr="009650E1">
        <w:rPr>
          <w:sz w:val="20"/>
          <w:szCs w:val="20"/>
          <w:lang w:val="es-CR"/>
        </w:rPr>
        <w:t>2007</w:t>
      </w:r>
      <w:r w:rsidR="009650E1" w:rsidRPr="009650E1">
        <w:rPr>
          <w:sz w:val="20"/>
          <w:szCs w:val="20"/>
          <w:lang w:val="es-CR"/>
        </w:rPr>
        <w:t xml:space="preserve"> (citado 15 noviembre 2023)</w:t>
      </w:r>
      <w:r w:rsidRPr="009650E1">
        <w:rPr>
          <w:sz w:val="20"/>
          <w:szCs w:val="20"/>
          <w:lang w:val="es-CR"/>
        </w:rPr>
        <w:t>;2:19. DOI: 10.1186/1750-1172-2-19</w:t>
      </w:r>
    </w:p>
    <w:p w14:paraId="1E08E77C" w14:textId="12562B6B"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Ahn C, Negus D, Huang W. Pyoderma gangrenosum: a review of pathogenesis and</w:t>
      </w:r>
      <w:r w:rsidRPr="00754D97">
        <w:rPr>
          <w:sz w:val="20"/>
          <w:szCs w:val="20"/>
          <w:lang w:val="en-US"/>
        </w:rPr>
        <w:t xml:space="preserve"> </w:t>
      </w:r>
      <w:r w:rsidRPr="00297704">
        <w:rPr>
          <w:sz w:val="20"/>
          <w:szCs w:val="20"/>
          <w:lang w:val="en-US"/>
        </w:rPr>
        <w:t xml:space="preserve">treatment. </w:t>
      </w:r>
      <w:r w:rsidRPr="00297704">
        <w:rPr>
          <w:iCs/>
          <w:sz w:val="20"/>
          <w:szCs w:val="20"/>
          <w:lang w:val="en-US"/>
        </w:rPr>
        <w:t>Expert Rev Clin Immunol</w:t>
      </w:r>
      <w:r w:rsidRPr="00297704">
        <w:rPr>
          <w:sz w:val="20"/>
          <w:szCs w:val="20"/>
          <w:lang w:val="en-US"/>
        </w:rPr>
        <w:t xml:space="preserve">. </w:t>
      </w:r>
      <w:r w:rsidR="00B56C02">
        <w:rPr>
          <w:sz w:val="20"/>
          <w:szCs w:val="20"/>
          <w:lang w:val="en-US"/>
        </w:rPr>
        <w:t>[Internet]</w:t>
      </w:r>
      <w:r w:rsidR="00B56C02">
        <w:rPr>
          <w:sz w:val="20"/>
          <w:szCs w:val="20"/>
          <w:lang w:val="en-US"/>
        </w:rPr>
        <w:t xml:space="preserve">. </w:t>
      </w:r>
      <w:r w:rsidRPr="00297704">
        <w:rPr>
          <w:sz w:val="20"/>
          <w:szCs w:val="20"/>
          <w:lang w:val="en-US"/>
        </w:rPr>
        <w:t>2018</w:t>
      </w:r>
      <w:r w:rsidR="009650E1">
        <w:rPr>
          <w:sz w:val="20"/>
          <w:szCs w:val="20"/>
          <w:lang w:val="en-US"/>
        </w:rPr>
        <w:t xml:space="preserve"> (citado 15 noviembre 2023)</w:t>
      </w:r>
      <w:r w:rsidRPr="00297704">
        <w:rPr>
          <w:sz w:val="20"/>
          <w:szCs w:val="20"/>
          <w:lang w:val="en-US"/>
        </w:rPr>
        <w:t>;14(3):225-233.</w:t>
      </w:r>
      <w:r w:rsidRPr="00754D97">
        <w:rPr>
          <w:sz w:val="20"/>
          <w:szCs w:val="20"/>
          <w:lang w:val="en-US"/>
        </w:rPr>
        <w:t xml:space="preserve"> </w:t>
      </w:r>
      <w:r>
        <w:rPr>
          <w:sz w:val="20"/>
          <w:szCs w:val="20"/>
          <w:lang w:val="en-US"/>
        </w:rPr>
        <w:t xml:space="preserve">DOI: </w:t>
      </w:r>
      <w:r w:rsidRPr="00297704">
        <w:rPr>
          <w:sz w:val="20"/>
          <w:szCs w:val="20"/>
          <w:lang w:val="en-US"/>
        </w:rPr>
        <w:t>10.1080/1744666X.2018.1438269</w:t>
      </w:r>
    </w:p>
    <w:p w14:paraId="56A533D2" w14:textId="0ECC5090"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Ahronowitz I, Harp J, Shinkai K. Etiology and management of pyoderma</w:t>
      </w:r>
      <w:r w:rsidRPr="00754D97">
        <w:rPr>
          <w:sz w:val="20"/>
          <w:szCs w:val="20"/>
          <w:lang w:val="en-US"/>
        </w:rPr>
        <w:t xml:space="preserve"> </w:t>
      </w:r>
      <w:r w:rsidRPr="00297704">
        <w:rPr>
          <w:sz w:val="20"/>
          <w:szCs w:val="20"/>
          <w:lang w:val="en-US"/>
        </w:rPr>
        <w:t xml:space="preserve">gangrenosum: a comprehensive review. </w:t>
      </w:r>
      <w:r w:rsidRPr="00297704">
        <w:rPr>
          <w:iCs/>
          <w:sz w:val="20"/>
          <w:szCs w:val="20"/>
          <w:lang w:val="en-US"/>
        </w:rPr>
        <w:t>Am J Clin Dermatol</w:t>
      </w:r>
      <w:r w:rsidRPr="00297704">
        <w:rPr>
          <w:sz w:val="20"/>
          <w:szCs w:val="20"/>
          <w:lang w:val="en-US"/>
        </w:rPr>
        <w:t xml:space="preserve">. </w:t>
      </w:r>
      <w:r w:rsidR="00B56C02">
        <w:rPr>
          <w:sz w:val="20"/>
          <w:szCs w:val="20"/>
          <w:lang w:val="en-US"/>
        </w:rPr>
        <w:t>[Internet]</w:t>
      </w:r>
      <w:r w:rsidR="00B56C02">
        <w:rPr>
          <w:sz w:val="20"/>
          <w:szCs w:val="20"/>
          <w:lang w:val="en-US"/>
        </w:rPr>
        <w:t xml:space="preserve">. </w:t>
      </w:r>
      <w:r w:rsidRPr="00297704">
        <w:rPr>
          <w:sz w:val="20"/>
          <w:szCs w:val="20"/>
          <w:lang w:val="en-US"/>
        </w:rPr>
        <w:t>2012</w:t>
      </w:r>
      <w:r w:rsidR="009650E1">
        <w:rPr>
          <w:sz w:val="20"/>
          <w:szCs w:val="20"/>
          <w:lang w:val="en-US"/>
        </w:rPr>
        <w:t xml:space="preserve"> (citado 15 noviembre 2023)</w:t>
      </w:r>
      <w:r w:rsidRPr="00297704">
        <w:rPr>
          <w:sz w:val="20"/>
          <w:szCs w:val="20"/>
          <w:lang w:val="en-US"/>
        </w:rPr>
        <w:t>;13(3):191-211.</w:t>
      </w:r>
      <w:r w:rsidRPr="00754D97">
        <w:rPr>
          <w:sz w:val="20"/>
          <w:szCs w:val="20"/>
          <w:lang w:val="en-US"/>
        </w:rPr>
        <w:t xml:space="preserve"> </w:t>
      </w:r>
      <w:r>
        <w:rPr>
          <w:sz w:val="20"/>
          <w:szCs w:val="20"/>
          <w:lang w:val="en-US"/>
        </w:rPr>
        <w:t xml:space="preserve">DOI: </w:t>
      </w:r>
      <w:r w:rsidRPr="00297704">
        <w:rPr>
          <w:sz w:val="20"/>
          <w:szCs w:val="20"/>
          <w:lang w:val="en-US"/>
        </w:rPr>
        <w:t>10.2165/11595240-000000000-00000</w:t>
      </w:r>
    </w:p>
    <w:p w14:paraId="1AC1ECD6" w14:textId="4F3B5521"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George C, Deroide F, Rustin M. Pyoderma gangrenosum – a guide to diagnosis and</w:t>
      </w:r>
      <w:r w:rsidRPr="00754D97">
        <w:rPr>
          <w:sz w:val="20"/>
          <w:szCs w:val="20"/>
          <w:lang w:val="en-US"/>
        </w:rPr>
        <w:t xml:space="preserve"> </w:t>
      </w:r>
      <w:r w:rsidRPr="00297704">
        <w:rPr>
          <w:sz w:val="20"/>
          <w:szCs w:val="20"/>
          <w:lang w:val="en-US"/>
        </w:rPr>
        <w:t xml:space="preserve">management. </w:t>
      </w:r>
      <w:r w:rsidRPr="00297704">
        <w:rPr>
          <w:iCs/>
          <w:sz w:val="20"/>
          <w:szCs w:val="20"/>
          <w:lang w:val="en-US"/>
        </w:rPr>
        <w:t>Clin Med (Lond)</w:t>
      </w:r>
      <w:r w:rsidR="00B56C02">
        <w:rPr>
          <w:iCs/>
          <w:sz w:val="20"/>
          <w:szCs w:val="20"/>
          <w:lang w:val="en-US"/>
        </w:rPr>
        <w:t xml:space="preserve"> </w:t>
      </w:r>
      <w:r w:rsidR="00B56C02">
        <w:rPr>
          <w:sz w:val="20"/>
          <w:szCs w:val="20"/>
          <w:lang w:val="en-US"/>
        </w:rPr>
        <w:t>[Internet]</w:t>
      </w:r>
      <w:r w:rsidRPr="00297704">
        <w:rPr>
          <w:sz w:val="20"/>
          <w:szCs w:val="20"/>
          <w:lang w:val="en-US"/>
        </w:rPr>
        <w:t>. 2019</w:t>
      </w:r>
      <w:r w:rsidR="009650E1">
        <w:rPr>
          <w:sz w:val="20"/>
          <w:szCs w:val="20"/>
          <w:lang w:val="en-US"/>
        </w:rPr>
        <w:t xml:space="preserve"> (citado 15 noviembre 2023)</w:t>
      </w:r>
      <w:r w:rsidRPr="00297704">
        <w:rPr>
          <w:sz w:val="20"/>
          <w:szCs w:val="20"/>
          <w:lang w:val="en-US"/>
        </w:rPr>
        <w:t xml:space="preserve">; 19(3): 224–228. </w:t>
      </w:r>
      <w:r>
        <w:rPr>
          <w:sz w:val="20"/>
          <w:szCs w:val="20"/>
          <w:lang w:val="en-US"/>
        </w:rPr>
        <w:t>DOI</w:t>
      </w:r>
      <w:r w:rsidRPr="00297704">
        <w:rPr>
          <w:sz w:val="20"/>
          <w:szCs w:val="20"/>
          <w:lang w:val="en-US"/>
        </w:rPr>
        <w:t>:</w:t>
      </w:r>
      <w:r>
        <w:rPr>
          <w:sz w:val="20"/>
          <w:szCs w:val="20"/>
          <w:lang w:val="en-US"/>
        </w:rPr>
        <w:t xml:space="preserve"> </w:t>
      </w:r>
      <w:r w:rsidRPr="00297704">
        <w:rPr>
          <w:sz w:val="20"/>
          <w:szCs w:val="20"/>
          <w:lang w:val="en-US"/>
        </w:rPr>
        <w:t>10.7861/clinmedicine.19-3-224</w:t>
      </w:r>
    </w:p>
    <w:p w14:paraId="1CA796A6" w14:textId="21E39997"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D94F08">
        <w:rPr>
          <w:sz w:val="20"/>
          <w:szCs w:val="20"/>
          <w:lang w:val="es-CR"/>
        </w:rPr>
        <w:t xml:space="preserve">Flora A, Kozera E, Frew JW. </w:t>
      </w:r>
      <w:r w:rsidRPr="00297704">
        <w:rPr>
          <w:sz w:val="20"/>
          <w:szCs w:val="20"/>
          <w:lang w:val="en-US"/>
        </w:rPr>
        <w:t>Pyoderma gangrenosum: A systematic review of the</w:t>
      </w:r>
      <w:r w:rsidRPr="00754D97">
        <w:rPr>
          <w:sz w:val="20"/>
          <w:szCs w:val="20"/>
          <w:lang w:val="en-US"/>
        </w:rPr>
        <w:t xml:space="preserve"> </w:t>
      </w:r>
      <w:r w:rsidRPr="00297704">
        <w:rPr>
          <w:sz w:val="20"/>
          <w:szCs w:val="20"/>
          <w:lang w:val="en-US"/>
        </w:rPr>
        <w:t xml:space="preserve">molecular characteristics of disease. </w:t>
      </w:r>
      <w:r w:rsidRPr="00297704">
        <w:rPr>
          <w:iCs/>
          <w:sz w:val="20"/>
          <w:szCs w:val="20"/>
          <w:lang w:val="en-US"/>
        </w:rPr>
        <w:t>Exp Dermatol</w:t>
      </w:r>
      <w:r w:rsidRPr="00297704">
        <w:rPr>
          <w:sz w:val="20"/>
          <w:szCs w:val="20"/>
          <w:lang w:val="en-US"/>
        </w:rPr>
        <w:t xml:space="preserve">. </w:t>
      </w:r>
      <w:r w:rsidR="00B56C02">
        <w:rPr>
          <w:sz w:val="20"/>
          <w:szCs w:val="20"/>
          <w:lang w:val="en-US"/>
        </w:rPr>
        <w:t>[Internet]</w:t>
      </w:r>
      <w:r w:rsidR="00B56C02">
        <w:rPr>
          <w:sz w:val="20"/>
          <w:szCs w:val="20"/>
          <w:lang w:val="en-US"/>
        </w:rPr>
        <w:t xml:space="preserve">. </w:t>
      </w:r>
      <w:r w:rsidR="00F628B4">
        <w:rPr>
          <w:sz w:val="20"/>
          <w:szCs w:val="20"/>
          <w:lang w:val="en-US"/>
        </w:rPr>
        <w:t xml:space="preserve">Abril </w:t>
      </w:r>
      <w:r w:rsidRPr="00297704">
        <w:rPr>
          <w:sz w:val="20"/>
          <w:szCs w:val="20"/>
          <w:lang w:val="en-US"/>
        </w:rPr>
        <w:t>2022</w:t>
      </w:r>
      <w:r w:rsidR="009650E1">
        <w:rPr>
          <w:sz w:val="20"/>
          <w:szCs w:val="20"/>
          <w:lang w:val="en-US"/>
        </w:rPr>
        <w:t xml:space="preserve"> (citado 15 noviembre 2023)</w:t>
      </w:r>
      <w:r w:rsidRPr="00297704">
        <w:rPr>
          <w:sz w:val="20"/>
          <w:szCs w:val="20"/>
          <w:lang w:val="en-US"/>
        </w:rPr>
        <w:t xml:space="preserve">;31(4):498-515. </w:t>
      </w:r>
      <w:r>
        <w:rPr>
          <w:sz w:val="20"/>
          <w:szCs w:val="20"/>
          <w:lang w:val="en-US"/>
        </w:rPr>
        <w:t>DOI</w:t>
      </w:r>
      <w:r w:rsidRPr="00297704">
        <w:rPr>
          <w:sz w:val="20"/>
          <w:szCs w:val="20"/>
          <w:lang w:val="en-US"/>
        </w:rPr>
        <w:t>: 10.1111/exd.14534</w:t>
      </w:r>
    </w:p>
    <w:p w14:paraId="644B2E07" w14:textId="04FD1AC8" w:rsidR="00D94F08" w:rsidRPr="009650E1" w:rsidRDefault="00D94F08" w:rsidP="00D94F08">
      <w:pPr>
        <w:pStyle w:val="Prrafodelista"/>
        <w:numPr>
          <w:ilvl w:val="0"/>
          <w:numId w:val="19"/>
        </w:numPr>
        <w:autoSpaceDE w:val="0"/>
        <w:autoSpaceDN w:val="0"/>
        <w:adjustRightInd w:val="0"/>
        <w:ind w:left="284" w:hanging="284"/>
        <w:jc w:val="both"/>
        <w:rPr>
          <w:sz w:val="20"/>
          <w:szCs w:val="20"/>
          <w:lang w:val="es-CR"/>
        </w:rPr>
      </w:pPr>
      <w:r w:rsidRPr="00297704">
        <w:rPr>
          <w:sz w:val="20"/>
          <w:szCs w:val="20"/>
          <w:lang w:val="en-US"/>
        </w:rPr>
        <w:t>Rodríguez-Zúñiga MJM, Heath MS, Gontijo JRV, Ortega-Loayza AG. Pyoderma</w:t>
      </w:r>
      <w:r w:rsidRPr="00754D97">
        <w:rPr>
          <w:sz w:val="20"/>
          <w:szCs w:val="20"/>
          <w:lang w:val="en-US"/>
        </w:rPr>
        <w:t xml:space="preserve"> </w:t>
      </w:r>
      <w:r w:rsidRPr="00297704">
        <w:rPr>
          <w:sz w:val="20"/>
          <w:szCs w:val="20"/>
          <w:lang w:val="en-US"/>
        </w:rPr>
        <w:t xml:space="preserve">gangrenosum: a review with special emphasis on Latin America literature. </w:t>
      </w:r>
      <w:r w:rsidRPr="009650E1">
        <w:rPr>
          <w:iCs/>
          <w:sz w:val="20"/>
          <w:szCs w:val="20"/>
          <w:lang w:val="es-CR"/>
        </w:rPr>
        <w:t>An Bras Dermatol</w:t>
      </w:r>
      <w:r w:rsidRPr="009650E1">
        <w:rPr>
          <w:sz w:val="20"/>
          <w:szCs w:val="20"/>
          <w:lang w:val="es-CR"/>
        </w:rPr>
        <w:t xml:space="preserve">. </w:t>
      </w:r>
      <w:r w:rsidR="00B56C02" w:rsidRPr="009650E1">
        <w:rPr>
          <w:sz w:val="20"/>
          <w:szCs w:val="20"/>
          <w:lang w:val="es-CR"/>
        </w:rPr>
        <w:t>[Internet]</w:t>
      </w:r>
      <w:r w:rsidR="00B56C02" w:rsidRPr="009650E1">
        <w:rPr>
          <w:sz w:val="20"/>
          <w:szCs w:val="20"/>
          <w:lang w:val="es-CR"/>
        </w:rPr>
        <w:t xml:space="preserve">. </w:t>
      </w:r>
      <w:r w:rsidRPr="009650E1">
        <w:rPr>
          <w:sz w:val="20"/>
          <w:szCs w:val="20"/>
          <w:lang w:val="es-CR"/>
        </w:rPr>
        <w:t>Nov-D</w:t>
      </w:r>
      <w:r w:rsidR="00F628B4">
        <w:rPr>
          <w:sz w:val="20"/>
          <w:szCs w:val="20"/>
          <w:lang w:val="es-CR"/>
        </w:rPr>
        <w:t>i</w:t>
      </w:r>
      <w:r w:rsidRPr="009650E1">
        <w:rPr>
          <w:sz w:val="20"/>
          <w:szCs w:val="20"/>
          <w:lang w:val="es-CR"/>
        </w:rPr>
        <w:t>c 2019</w:t>
      </w:r>
      <w:r w:rsidR="009650E1" w:rsidRPr="009650E1">
        <w:rPr>
          <w:sz w:val="20"/>
          <w:szCs w:val="20"/>
          <w:lang w:val="es-CR"/>
        </w:rPr>
        <w:t xml:space="preserve"> (citado 15 noviembre 2023)</w:t>
      </w:r>
      <w:r w:rsidRPr="009650E1">
        <w:rPr>
          <w:sz w:val="20"/>
          <w:szCs w:val="20"/>
          <w:lang w:val="es-CR"/>
        </w:rPr>
        <w:t>;94(6):729-743. DOI: 10.1016/j.abd.2019.06.001</w:t>
      </w:r>
    </w:p>
    <w:p w14:paraId="3331A693" w14:textId="3EAED002"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rPr>
        <w:t>Maverakis E, Ma C, Shinkai K, Fiorentino D, Callen JP, Wollina U, Marzano AV, Wallach</w:t>
      </w:r>
      <w:r w:rsidRPr="00754D97">
        <w:rPr>
          <w:sz w:val="20"/>
          <w:szCs w:val="20"/>
        </w:rPr>
        <w:t xml:space="preserve"> </w:t>
      </w:r>
      <w:r w:rsidRPr="00297704">
        <w:rPr>
          <w:sz w:val="20"/>
          <w:szCs w:val="20"/>
          <w:lang w:val="en-US"/>
        </w:rPr>
        <w:t>D, Kim K, Schadt C, Ormerod A, Fung MA, Steel A, Patel F, Qin R, Craig F, Williams HC, Powell F,</w:t>
      </w:r>
      <w:r w:rsidRPr="00754D97">
        <w:rPr>
          <w:sz w:val="20"/>
          <w:szCs w:val="20"/>
          <w:lang w:val="en-US"/>
        </w:rPr>
        <w:t xml:space="preserve"> </w:t>
      </w:r>
      <w:r w:rsidRPr="00297704">
        <w:rPr>
          <w:sz w:val="20"/>
          <w:szCs w:val="20"/>
          <w:lang w:val="en-US"/>
        </w:rPr>
        <w:t>Merleev A, Cheng MY. Diagnostic Criteria of Ulcerative Pyoderma Gangrenosum: A Delphi</w:t>
      </w:r>
      <w:r w:rsidRPr="00754D97">
        <w:rPr>
          <w:sz w:val="20"/>
          <w:szCs w:val="20"/>
          <w:lang w:val="en-US"/>
        </w:rPr>
        <w:t xml:space="preserve"> </w:t>
      </w:r>
      <w:r w:rsidRPr="00297704">
        <w:rPr>
          <w:sz w:val="20"/>
          <w:szCs w:val="20"/>
          <w:lang w:val="en-US"/>
        </w:rPr>
        <w:t xml:space="preserve">Consensus of International Experts. </w:t>
      </w:r>
      <w:r w:rsidRPr="00297704">
        <w:rPr>
          <w:iCs/>
          <w:sz w:val="20"/>
          <w:szCs w:val="20"/>
          <w:lang w:val="en-US"/>
        </w:rPr>
        <w:t>JAMA Dermatol</w:t>
      </w:r>
      <w:r w:rsidRPr="00297704">
        <w:rPr>
          <w:sz w:val="20"/>
          <w:szCs w:val="20"/>
          <w:lang w:val="en-US"/>
        </w:rPr>
        <w:t xml:space="preserve">. </w:t>
      </w:r>
      <w:r w:rsidR="00B56C02">
        <w:rPr>
          <w:sz w:val="20"/>
          <w:szCs w:val="20"/>
          <w:lang w:val="en-US"/>
        </w:rPr>
        <w:t>[Internet]</w:t>
      </w:r>
      <w:r w:rsidR="00B56C02">
        <w:rPr>
          <w:sz w:val="20"/>
          <w:szCs w:val="20"/>
          <w:lang w:val="en-US"/>
        </w:rPr>
        <w:t xml:space="preserve">. </w:t>
      </w:r>
      <w:r w:rsidR="00F628B4">
        <w:rPr>
          <w:sz w:val="20"/>
          <w:szCs w:val="20"/>
          <w:lang w:val="en-US"/>
        </w:rPr>
        <w:t xml:space="preserve">01 abril </w:t>
      </w:r>
      <w:r w:rsidRPr="00297704">
        <w:rPr>
          <w:sz w:val="20"/>
          <w:szCs w:val="20"/>
          <w:lang w:val="en-US"/>
        </w:rPr>
        <w:t>2018</w:t>
      </w:r>
      <w:r w:rsidR="009650E1">
        <w:rPr>
          <w:sz w:val="20"/>
          <w:szCs w:val="20"/>
          <w:lang w:val="en-US"/>
        </w:rPr>
        <w:t xml:space="preserve"> (citado 15 noviembre 2023)</w:t>
      </w:r>
      <w:r w:rsidRPr="00297704">
        <w:rPr>
          <w:sz w:val="20"/>
          <w:szCs w:val="20"/>
          <w:lang w:val="en-US"/>
        </w:rPr>
        <w:t xml:space="preserve">;154(4):461-466. </w:t>
      </w:r>
      <w:r>
        <w:rPr>
          <w:sz w:val="20"/>
          <w:szCs w:val="20"/>
          <w:lang w:val="en-US"/>
        </w:rPr>
        <w:t>DOI</w:t>
      </w:r>
      <w:r w:rsidRPr="00297704">
        <w:rPr>
          <w:sz w:val="20"/>
          <w:szCs w:val="20"/>
          <w:lang w:val="en-US"/>
        </w:rPr>
        <w:t>:</w:t>
      </w:r>
      <w:r w:rsidRPr="00754D97">
        <w:rPr>
          <w:sz w:val="20"/>
          <w:szCs w:val="20"/>
          <w:lang w:val="en-US"/>
        </w:rPr>
        <w:t xml:space="preserve"> </w:t>
      </w:r>
      <w:r w:rsidRPr="00297704">
        <w:rPr>
          <w:sz w:val="20"/>
          <w:szCs w:val="20"/>
          <w:lang w:val="en-US"/>
        </w:rPr>
        <w:t>10.1001/jamadermatol.2017.5980</w:t>
      </w:r>
    </w:p>
    <w:p w14:paraId="12D01BB0" w14:textId="4A2E97F6"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Alavi A, French L, Davis M, Brassard A, Kirsner R. Pyoderma Gangrenosum: An</w:t>
      </w:r>
      <w:r w:rsidRPr="00754D97">
        <w:rPr>
          <w:sz w:val="20"/>
          <w:szCs w:val="20"/>
          <w:lang w:val="en-US"/>
        </w:rPr>
        <w:t xml:space="preserve"> </w:t>
      </w:r>
      <w:r w:rsidRPr="00297704">
        <w:rPr>
          <w:sz w:val="20"/>
          <w:szCs w:val="20"/>
          <w:lang w:val="en-US"/>
        </w:rPr>
        <w:t xml:space="preserve">Update on Pathophysiology, Diagnosis and Treatment. </w:t>
      </w:r>
      <w:r w:rsidRPr="00297704">
        <w:rPr>
          <w:iCs/>
          <w:sz w:val="20"/>
          <w:szCs w:val="20"/>
          <w:lang w:val="en-US"/>
        </w:rPr>
        <w:t>Am J Clin Dermatol</w:t>
      </w:r>
      <w:r w:rsidRPr="00297704">
        <w:rPr>
          <w:sz w:val="20"/>
          <w:szCs w:val="20"/>
          <w:lang w:val="en-US"/>
        </w:rPr>
        <w:t xml:space="preserve">. </w:t>
      </w:r>
      <w:r w:rsidR="00B56C02">
        <w:rPr>
          <w:sz w:val="20"/>
          <w:szCs w:val="20"/>
          <w:lang w:val="en-US"/>
        </w:rPr>
        <w:t>[Internet]</w:t>
      </w:r>
      <w:r w:rsidR="00B56C02">
        <w:rPr>
          <w:sz w:val="20"/>
          <w:szCs w:val="20"/>
          <w:lang w:val="en-US"/>
        </w:rPr>
        <w:t xml:space="preserve">. </w:t>
      </w:r>
      <w:r w:rsidRPr="00297704">
        <w:rPr>
          <w:sz w:val="20"/>
          <w:szCs w:val="20"/>
          <w:lang w:val="en-US"/>
        </w:rPr>
        <w:t>2017</w:t>
      </w:r>
      <w:r w:rsidR="009650E1">
        <w:rPr>
          <w:sz w:val="20"/>
          <w:szCs w:val="20"/>
          <w:lang w:val="en-US"/>
        </w:rPr>
        <w:t xml:space="preserve"> (citado 15 noviembre 2023)</w:t>
      </w:r>
      <w:r w:rsidRPr="00297704">
        <w:rPr>
          <w:sz w:val="20"/>
          <w:szCs w:val="20"/>
          <w:lang w:val="en-US"/>
        </w:rPr>
        <w:t xml:space="preserve">;18:355–372. </w:t>
      </w:r>
      <w:r>
        <w:rPr>
          <w:sz w:val="20"/>
          <w:szCs w:val="20"/>
          <w:lang w:val="en-US"/>
        </w:rPr>
        <w:t>DOI</w:t>
      </w:r>
      <w:r w:rsidRPr="00297704">
        <w:rPr>
          <w:sz w:val="20"/>
          <w:szCs w:val="20"/>
          <w:lang w:val="en-US"/>
        </w:rPr>
        <w:t>:</w:t>
      </w:r>
      <w:r>
        <w:rPr>
          <w:sz w:val="20"/>
          <w:szCs w:val="20"/>
          <w:lang w:val="en-US"/>
        </w:rPr>
        <w:t xml:space="preserve"> </w:t>
      </w:r>
      <w:r w:rsidRPr="00297704">
        <w:rPr>
          <w:sz w:val="20"/>
          <w:szCs w:val="20"/>
          <w:lang w:val="en-US"/>
        </w:rPr>
        <w:t>10.1007/s40257-017-0251-7</w:t>
      </w:r>
    </w:p>
    <w:p w14:paraId="54C2F0F3" w14:textId="682EE0A8" w:rsidR="00D94F08" w:rsidRPr="00297704" w:rsidRDefault="00D94F08" w:rsidP="00D94F08">
      <w:pPr>
        <w:pStyle w:val="Prrafodelista"/>
        <w:numPr>
          <w:ilvl w:val="0"/>
          <w:numId w:val="19"/>
        </w:numPr>
        <w:autoSpaceDE w:val="0"/>
        <w:autoSpaceDN w:val="0"/>
        <w:adjustRightInd w:val="0"/>
        <w:ind w:left="284" w:hanging="284"/>
        <w:jc w:val="both"/>
        <w:rPr>
          <w:sz w:val="20"/>
          <w:szCs w:val="20"/>
          <w:lang w:val="en-US"/>
        </w:rPr>
      </w:pPr>
      <w:r w:rsidRPr="00297704">
        <w:rPr>
          <w:sz w:val="20"/>
          <w:szCs w:val="20"/>
          <w:lang w:val="en-US"/>
        </w:rPr>
        <w:t>Chen B, Li W, Qu B. Practical aspects of the diagnosis and management of pyoderma</w:t>
      </w:r>
      <w:r w:rsidRPr="00754D97">
        <w:rPr>
          <w:sz w:val="20"/>
          <w:szCs w:val="20"/>
          <w:lang w:val="en-US"/>
        </w:rPr>
        <w:t xml:space="preserve"> </w:t>
      </w:r>
      <w:r w:rsidRPr="00297704">
        <w:rPr>
          <w:sz w:val="20"/>
          <w:szCs w:val="20"/>
          <w:lang w:val="en-US"/>
        </w:rPr>
        <w:t xml:space="preserve">gangrenosum. </w:t>
      </w:r>
      <w:r w:rsidRPr="00297704">
        <w:rPr>
          <w:iCs/>
          <w:sz w:val="20"/>
          <w:szCs w:val="20"/>
          <w:lang w:val="en-US"/>
        </w:rPr>
        <w:t>Front Med (Lausanne)</w:t>
      </w:r>
      <w:r w:rsidR="00B56C02">
        <w:rPr>
          <w:iCs/>
          <w:sz w:val="20"/>
          <w:szCs w:val="20"/>
          <w:lang w:val="en-US"/>
        </w:rPr>
        <w:t xml:space="preserve"> </w:t>
      </w:r>
      <w:r w:rsidR="00B56C02">
        <w:rPr>
          <w:sz w:val="20"/>
          <w:szCs w:val="20"/>
          <w:lang w:val="en-US"/>
        </w:rPr>
        <w:t>[Internet]</w:t>
      </w:r>
      <w:r w:rsidRPr="00297704">
        <w:rPr>
          <w:sz w:val="20"/>
          <w:szCs w:val="20"/>
          <w:lang w:val="en-US"/>
        </w:rPr>
        <w:t xml:space="preserve">. </w:t>
      </w:r>
      <w:r w:rsidR="000E2F57">
        <w:rPr>
          <w:sz w:val="20"/>
          <w:szCs w:val="20"/>
          <w:lang w:val="en-US"/>
        </w:rPr>
        <w:t>14 f</w:t>
      </w:r>
      <w:r w:rsidRPr="00297704">
        <w:rPr>
          <w:sz w:val="20"/>
          <w:szCs w:val="20"/>
          <w:lang w:val="en-US"/>
        </w:rPr>
        <w:t>eb</w:t>
      </w:r>
      <w:r w:rsidR="000E2F57">
        <w:rPr>
          <w:sz w:val="20"/>
          <w:szCs w:val="20"/>
          <w:lang w:val="en-US"/>
        </w:rPr>
        <w:t>rero</w:t>
      </w:r>
      <w:r>
        <w:rPr>
          <w:sz w:val="20"/>
          <w:szCs w:val="20"/>
          <w:lang w:val="en-US"/>
        </w:rPr>
        <w:t xml:space="preserve"> 2023</w:t>
      </w:r>
      <w:r w:rsidR="001D6BC6">
        <w:rPr>
          <w:sz w:val="20"/>
          <w:szCs w:val="20"/>
          <w:lang w:val="en-US"/>
        </w:rPr>
        <w:t xml:space="preserve"> </w:t>
      </w:r>
      <w:r w:rsidR="001D6BC6">
        <w:rPr>
          <w:sz w:val="20"/>
          <w:szCs w:val="20"/>
          <w:lang w:val="en-US"/>
        </w:rPr>
        <w:t>(citado 15 noviembre 2023)</w:t>
      </w:r>
      <w:r w:rsidRPr="00297704">
        <w:rPr>
          <w:sz w:val="20"/>
          <w:szCs w:val="20"/>
          <w:lang w:val="en-US"/>
        </w:rPr>
        <w:t xml:space="preserve">;10:1134939. </w:t>
      </w:r>
      <w:r>
        <w:rPr>
          <w:sz w:val="20"/>
          <w:szCs w:val="20"/>
          <w:lang w:val="en-US"/>
        </w:rPr>
        <w:t>DOI</w:t>
      </w:r>
      <w:r w:rsidRPr="00297704">
        <w:rPr>
          <w:sz w:val="20"/>
          <w:szCs w:val="20"/>
          <w:lang w:val="en-US"/>
        </w:rPr>
        <w:t>: 10.3389/fmed.2023.1134939</w:t>
      </w:r>
    </w:p>
    <w:p w14:paraId="06999E1E" w14:textId="696D80DE" w:rsidR="00B56E82" w:rsidRDefault="00D94F08" w:rsidP="00D94F08">
      <w:pPr>
        <w:pStyle w:val="Prrafodelista"/>
        <w:numPr>
          <w:ilvl w:val="0"/>
          <w:numId w:val="19"/>
        </w:numPr>
        <w:autoSpaceDE w:val="0"/>
        <w:autoSpaceDN w:val="0"/>
        <w:adjustRightInd w:val="0"/>
        <w:ind w:left="284" w:hanging="284"/>
        <w:jc w:val="both"/>
        <w:rPr>
          <w:sz w:val="20"/>
          <w:szCs w:val="20"/>
        </w:rPr>
      </w:pPr>
      <w:r w:rsidRPr="00D94F08">
        <w:rPr>
          <w:sz w:val="20"/>
          <w:szCs w:val="20"/>
          <w:lang w:val="en-US"/>
        </w:rPr>
        <w:t xml:space="preserve">Dissemond J, Marzano AV, Hampton PJ, Ortega-Loayza AG. Pyoderma </w:t>
      </w:r>
      <w:r w:rsidRPr="00297704">
        <w:rPr>
          <w:sz w:val="20"/>
          <w:szCs w:val="20"/>
          <w:lang w:val="en-US"/>
        </w:rPr>
        <w:t xml:space="preserve">Gangrenosum: Treatment Options. </w:t>
      </w:r>
      <w:r w:rsidRPr="00297704">
        <w:rPr>
          <w:iCs/>
          <w:sz w:val="20"/>
          <w:szCs w:val="20"/>
          <w:lang w:val="en-US"/>
        </w:rPr>
        <w:t>Drugs</w:t>
      </w:r>
      <w:r w:rsidR="00B56C02">
        <w:rPr>
          <w:iCs/>
          <w:sz w:val="20"/>
          <w:szCs w:val="20"/>
          <w:lang w:val="en-US"/>
        </w:rPr>
        <w:t xml:space="preserve"> </w:t>
      </w:r>
      <w:r w:rsidR="00B56C02">
        <w:rPr>
          <w:sz w:val="20"/>
          <w:szCs w:val="20"/>
          <w:lang w:val="en-US"/>
        </w:rPr>
        <w:t>[Internet]</w:t>
      </w:r>
      <w:r w:rsidRPr="00297704">
        <w:rPr>
          <w:sz w:val="20"/>
          <w:szCs w:val="20"/>
          <w:lang w:val="en-US"/>
        </w:rPr>
        <w:t xml:space="preserve">. </w:t>
      </w:r>
      <w:r w:rsidR="000E2F57">
        <w:rPr>
          <w:sz w:val="20"/>
          <w:szCs w:val="20"/>
          <w:lang w:val="en-US"/>
        </w:rPr>
        <w:t xml:space="preserve">Septiembre </w:t>
      </w:r>
      <w:r w:rsidRPr="00297704">
        <w:rPr>
          <w:sz w:val="20"/>
          <w:szCs w:val="20"/>
          <w:lang w:val="en-US"/>
        </w:rPr>
        <w:t xml:space="preserve">2023 </w:t>
      </w:r>
      <w:r w:rsidR="001D6BC6">
        <w:rPr>
          <w:sz w:val="20"/>
          <w:szCs w:val="20"/>
          <w:lang w:val="en-US"/>
        </w:rPr>
        <w:t>(citado 15 noviembre 2023)</w:t>
      </w:r>
      <w:r w:rsidRPr="00297704">
        <w:rPr>
          <w:sz w:val="20"/>
          <w:szCs w:val="20"/>
          <w:lang w:val="en-US"/>
        </w:rPr>
        <w:t xml:space="preserve">;83(14):1255-1267. </w:t>
      </w:r>
      <w:r>
        <w:rPr>
          <w:sz w:val="20"/>
          <w:szCs w:val="20"/>
        </w:rPr>
        <w:t>DOI</w:t>
      </w:r>
      <w:r w:rsidRPr="00297704">
        <w:rPr>
          <w:sz w:val="20"/>
          <w:szCs w:val="20"/>
        </w:rPr>
        <w:t>: 10.1007/s40265-023-01931-3</w:t>
      </w:r>
    </w:p>
    <w:p w14:paraId="155B6285" w14:textId="1EAB96C9" w:rsidR="00D94F08" w:rsidRDefault="00D94F08" w:rsidP="00D94F08">
      <w:pPr>
        <w:autoSpaceDE w:val="0"/>
        <w:autoSpaceDN w:val="0"/>
        <w:adjustRightInd w:val="0"/>
        <w:jc w:val="both"/>
        <w:rPr>
          <w:sz w:val="20"/>
          <w:szCs w:val="20"/>
        </w:rPr>
      </w:pPr>
    </w:p>
    <w:p w14:paraId="37C469E6" w14:textId="051F5DF9" w:rsidR="00D94F08" w:rsidRDefault="00D94F08" w:rsidP="00D94F08">
      <w:pPr>
        <w:autoSpaceDE w:val="0"/>
        <w:autoSpaceDN w:val="0"/>
        <w:adjustRightInd w:val="0"/>
        <w:jc w:val="both"/>
        <w:rPr>
          <w:sz w:val="20"/>
          <w:szCs w:val="20"/>
        </w:rPr>
      </w:pPr>
    </w:p>
    <w:p w14:paraId="1F64BC87" w14:textId="76A13AD1" w:rsidR="00D94F08" w:rsidRDefault="00D94F08" w:rsidP="00D94F08">
      <w:pPr>
        <w:autoSpaceDE w:val="0"/>
        <w:autoSpaceDN w:val="0"/>
        <w:adjustRightInd w:val="0"/>
        <w:jc w:val="both"/>
        <w:rPr>
          <w:sz w:val="20"/>
          <w:szCs w:val="20"/>
        </w:rPr>
      </w:pPr>
    </w:p>
    <w:p w14:paraId="225A5179" w14:textId="7DF45802" w:rsidR="00D94F08" w:rsidRDefault="00D94F08" w:rsidP="00D94F08">
      <w:pPr>
        <w:autoSpaceDE w:val="0"/>
        <w:autoSpaceDN w:val="0"/>
        <w:adjustRightInd w:val="0"/>
        <w:jc w:val="both"/>
        <w:rPr>
          <w:sz w:val="20"/>
          <w:szCs w:val="20"/>
        </w:rPr>
      </w:pPr>
    </w:p>
    <w:p w14:paraId="21E148C1" w14:textId="5AB0C9B0" w:rsidR="00D94F08" w:rsidRDefault="00D94F08" w:rsidP="00D94F08">
      <w:pPr>
        <w:autoSpaceDE w:val="0"/>
        <w:autoSpaceDN w:val="0"/>
        <w:adjustRightInd w:val="0"/>
        <w:jc w:val="both"/>
        <w:rPr>
          <w:sz w:val="20"/>
          <w:szCs w:val="20"/>
        </w:rPr>
      </w:pPr>
    </w:p>
    <w:p w14:paraId="4B3639E8" w14:textId="7A58525E" w:rsidR="00D94F08" w:rsidRDefault="00D94F08" w:rsidP="00D94F08">
      <w:pPr>
        <w:autoSpaceDE w:val="0"/>
        <w:autoSpaceDN w:val="0"/>
        <w:adjustRightInd w:val="0"/>
        <w:jc w:val="both"/>
        <w:rPr>
          <w:sz w:val="20"/>
          <w:szCs w:val="20"/>
        </w:rPr>
      </w:pPr>
    </w:p>
    <w:p w14:paraId="295CDF3B" w14:textId="6AEC904E" w:rsidR="00D94F08" w:rsidRDefault="00D94F08" w:rsidP="00D94F08">
      <w:pPr>
        <w:autoSpaceDE w:val="0"/>
        <w:autoSpaceDN w:val="0"/>
        <w:adjustRightInd w:val="0"/>
        <w:jc w:val="both"/>
        <w:rPr>
          <w:sz w:val="20"/>
          <w:szCs w:val="20"/>
        </w:rPr>
      </w:pPr>
    </w:p>
    <w:p w14:paraId="1068F12E" w14:textId="24F93A78" w:rsidR="00D94F08" w:rsidRDefault="00D94F08" w:rsidP="00D94F08">
      <w:pPr>
        <w:autoSpaceDE w:val="0"/>
        <w:autoSpaceDN w:val="0"/>
        <w:adjustRightInd w:val="0"/>
        <w:jc w:val="both"/>
        <w:rPr>
          <w:sz w:val="20"/>
          <w:szCs w:val="20"/>
        </w:rPr>
      </w:pPr>
    </w:p>
    <w:p w14:paraId="2ADA9632" w14:textId="77777777" w:rsidR="00D94F08" w:rsidRDefault="00D94F08" w:rsidP="00D94F08">
      <w:pPr>
        <w:autoSpaceDE w:val="0"/>
        <w:autoSpaceDN w:val="0"/>
        <w:adjustRightInd w:val="0"/>
        <w:jc w:val="both"/>
        <w:rPr>
          <w:sz w:val="20"/>
          <w:szCs w:val="20"/>
        </w:rPr>
        <w:sectPr w:rsidR="00D94F08" w:rsidSect="00D726D5">
          <w:type w:val="continuous"/>
          <w:pgSz w:w="12240" w:h="15840"/>
          <w:pgMar w:top="1440" w:right="1467" w:bottom="1440" w:left="1440" w:header="720" w:footer="720" w:gutter="0"/>
          <w:pgNumType w:start="1"/>
          <w:cols w:num="2" w:space="720"/>
        </w:sectPr>
      </w:pPr>
    </w:p>
    <w:p w14:paraId="528661C5" w14:textId="77777777" w:rsidR="00D94F08" w:rsidRDefault="00D94F08" w:rsidP="00D94F08">
      <w:pPr>
        <w:pStyle w:val="Ttulo"/>
      </w:pPr>
      <w:r w:rsidRPr="00297704">
        <w:lastRenderedPageBreak/>
        <w:t>ARCHIVOS ADJUNTOS</w:t>
      </w:r>
    </w:p>
    <w:tbl>
      <w:tblPr>
        <w:tblStyle w:val="Tablaconcuadrcula"/>
        <w:tblW w:w="0" w:type="auto"/>
        <w:tblLook w:val="04A0" w:firstRow="1" w:lastRow="0" w:firstColumn="1" w:lastColumn="0" w:noHBand="0" w:noVBand="1"/>
      </w:tblPr>
      <w:tblGrid>
        <w:gridCol w:w="8828"/>
      </w:tblGrid>
      <w:tr w:rsidR="00D94F08" w14:paraId="25F339D9" w14:textId="77777777" w:rsidTr="00297704">
        <w:tc>
          <w:tcPr>
            <w:tcW w:w="8828" w:type="dxa"/>
          </w:tcPr>
          <w:p w14:paraId="0861AB3F" w14:textId="77777777" w:rsidR="00D94F08" w:rsidRDefault="00D94F08" w:rsidP="00297704">
            <w:pPr>
              <w:autoSpaceDE w:val="0"/>
              <w:autoSpaceDN w:val="0"/>
              <w:adjustRightInd w:val="0"/>
              <w:spacing w:line="276" w:lineRule="auto"/>
              <w:jc w:val="center"/>
              <w:rPr>
                <w:rFonts w:ascii="Arial" w:hAnsi="Arial" w:cs="Arial"/>
                <w:b/>
                <w:sz w:val="24"/>
                <w:szCs w:val="24"/>
                <w:lang w:val="en-US"/>
              </w:rPr>
            </w:pPr>
            <w:r w:rsidRPr="00754D97">
              <w:rPr>
                <w:noProof/>
                <w:sz w:val="18"/>
                <w:szCs w:val="18"/>
                <w:lang w:val="es-CR" w:eastAsia="es-CR"/>
              </w:rPr>
              <w:drawing>
                <wp:inline distT="0" distB="0" distL="0" distR="0" wp14:anchorId="6D59B208" wp14:editId="4420ED7A">
                  <wp:extent cx="1758693" cy="1733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495" cy="1737297"/>
                          </a:xfrm>
                          <a:prstGeom prst="rect">
                            <a:avLst/>
                          </a:prstGeom>
                          <a:noFill/>
                          <a:ln>
                            <a:noFill/>
                          </a:ln>
                        </pic:spPr>
                      </pic:pic>
                    </a:graphicData>
                  </a:graphic>
                </wp:inline>
              </w:drawing>
            </w:r>
          </w:p>
        </w:tc>
      </w:tr>
      <w:tr w:rsidR="00D94F08" w:rsidRPr="00BB617F" w14:paraId="190491C8" w14:textId="77777777" w:rsidTr="00297704">
        <w:tc>
          <w:tcPr>
            <w:tcW w:w="8828" w:type="dxa"/>
          </w:tcPr>
          <w:p w14:paraId="7EFF08E1" w14:textId="77777777" w:rsidR="00D94F08" w:rsidRPr="00297704" w:rsidRDefault="00D94F08" w:rsidP="00297704">
            <w:pPr>
              <w:autoSpaceDE w:val="0"/>
              <w:autoSpaceDN w:val="0"/>
              <w:adjustRightInd w:val="0"/>
              <w:spacing w:line="276" w:lineRule="auto"/>
              <w:jc w:val="both"/>
              <w:rPr>
                <w:rFonts w:ascii="Arial" w:hAnsi="Arial" w:cs="Arial"/>
                <w:iCs/>
                <w:sz w:val="20"/>
                <w:szCs w:val="20"/>
                <w:lang w:val="es-CR"/>
              </w:rPr>
            </w:pPr>
            <w:r w:rsidRPr="00CB5962">
              <w:rPr>
                <w:rFonts w:ascii="Arial" w:hAnsi="Arial" w:cs="Arial"/>
                <w:iCs/>
                <w:sz w:val="20"/>
                <w:szCs w:val="20"/>
              </w:rPr>
              <w:t>Colonoscopía diagnóstica de la paciente donde se puede observar la mucosa intestinal edematosa y friable, además de presencia de úlceras.</w:t>
            </w:r>
          </w:p>
        </w:tc>
      </w:tr>
    </w:tbl>
    <w:p w14:paraId="5F596AD0" w14:textId="77777777" w:rsidR="00D94F08" w:rsidRPr="00297704" w:rsidRDefault="00D94F08" w:rsidP="00D94F08">
      <w:pPr>
        <w:autoSpaceDE w:val="0"/>
        <w:autoSpaceDN w:val="0"/>
        <w:adjustRightInd w:val="0"/>
        <w:spacing w:after="160"/>
        <w:jc w:val="center"/>
        <w:rPr>
          <w:b/>
          <w:sz w:val="24"/>
          <w:szCs w:val="24"/>
          <w:lang w:val="es-CR"/>
        </w:rPr>
      </w:pPr>
    </w:p>
    <w:tbl>
      <w:tblPr>
        <w:tblStyle w:val="Tablaconcuadrcula"/>
        <w:tblW w:w="0" w:type="auto"/>
        <w:tblLook w:val="04A0" w:firstRow="1" w:lastRow="0" w:firstColumn="1" w:lastColumn="0" w:noHBand="0" w:noVBand="1"/>
      </w:tblPr>
      <w:tblGrid>
        <w:gridCol w:w="8828"/>
      </w:tblGrid>
      <w:tr w:rsidR="00D94F08" w14:paraId="7D1140C3" w14:textId="77777777" w:rsidTr="00297704">
        <w:tc>
          <w:tcPr>
            <w:tcW w:w="8828" w:type="dxa"/>
          </w:tcPr>
          <w:p w14:paraId="0463A082" w14:textId="77777777" w:rsidR="00D94F08" w:rsidRDefault="00D94F08" w:rsidP="00297704">
            <w:pPr>
              <w:autoSpaceDE w:val="0"/>
              <w:autoSpaceDN w:val="0"/>
              <w:adjustRightInd w:val="0"/>
              <w:spacing w:line="276" w:lineRule="auto"/>
              <w:jc w:val="center"/>
              <w:rPr>
                <w:rFonts w:ascii="Arial" w:hAnsi="Arial" w:cs="Arial"/>
                <w:sz w:val="18"/>
                <w:szCs w:val="18"/>
              </w:rPr>
            </w:pPr>
            <w:r w:rsidRPr="00754D97">
              <w:rPr>
                <w:noProof/>
                <w:sz w:val="18"/>
                <w:szCs w:val="18"/>
                <w:lang w:val="es-CR" w:eastAsia="es-CR"/>
              </w:rPr>
              <w:drawing>
                <wp:inline distT="0" distB="0" distL="0" distR="0" wp14:anchorId="6A7785F4" wp14:editId="2173D610">
                  <wp:extent cx="1311965" cy="1724243"/>
                  <wp:effectExtent l="0" t="0" r="254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4980" cy="1728206"/>
                          </a:xfrm>
                          <a:prstGeom prst="rect">
                            <a:avLst/>
                          </a:prstGeom>
                          <a:noFill/>
                          <a:ln>
                            <a:noFill/>
                          </a:ln>
                        </pic:spPr>
                      </pic:pic>
                    </a:graphicData>
                  </a:graphic>
                </wp:inline>
              </w:drawing>
            </w:r>
          </w:p>
        </w:tc>
      </w:tr>
      <w:tr w:rsidR="00D94F08" w:rsidRPr="00BB617F" w14:paraId="6CA94C89" w14:textId="77777777" w:rsidTr="00297704">
        <w:tc>
          <w:tcPr>
            <w:tcW w:w="8828" w:type="dxa"/>
          </w:tcPr>
          <w:p w14:paraId="19EE791F" w14:textId="77777777" w:rsidR="00D94F08" w:rsidRPr="00297704" w:rsidRDefault="00D94F08" w:rsidP="00297704">
            <w:pPr>
              <w:autoSpaceDE w:val="0"/>
              <w:autoSpaceDN w:val="0"/>
              <w:adjustRightInd w:val="0"/>
              <w:spacing w:line="276" w:lineRule="auto"/>
              <w:jc w:val="both"/>
              <w:rPr>
                <w:rFonts w:ascii="Arial" w:hAnsi="Arial" w:cs="Arial"/>
                <w:iCs/>
                <w:sz w:val="20"/>
                <w:szCs w:val="20"/>
              </w:rPr>
            </w:pPr>
            <w:r w:rsidRPr="001F3DE2">
              <w:rPr>
                <w:rFonts w:ascii="Arial" w:hAnsi="Arial" w:cs="Arial"/>
                <w:iCs/>
                <w:sz w:val="20"/>
                <w:szCs w:val="20"/>
              </w:rPr>
              <w:t>Evolución de la lesión de la paciente posterior a 2 semanas de tratamiento con corticoesteroides, donde se logra observar menos eritema además de menor cantidad de fibrina y tejido de granulación.</w:t>
            </w:r>
          </w:p>
        </w:tc>
      </w:tr>
    </w:tbl>
    <w:p w14:paraId="35EA1F67" w14:textId="77777777" w:rsidR="00D94F08" w:rsidRPr="00D94F08" w:rsidRDefault="00D94F08" w:rsidP="00D94F08">
      <w:pPr>
        <w:autoSpaceDE w:val="0"/>
        <w:autoSpaceDN w:val="0"/>
        <w:adjustRightInd w:val="0"/>
        <w:jc w:val="both"/>
        <w:rPr>
          <w:sz w:val="18"/>
          <w:szCs w:val="18"/>
          <w:lang w:val="es-CR"/>
        </w:rPr>
      </w:pPr>
    </w:p>
    <w:tbl>
      <w:tblPr>
        <w:tblStyle w:val="Tablaconcuadrcula"/>
        <w:tblW w:w="0" w:type="auto"/>
        <w:tblLook w:val="04A0" w:firstRow="1" w:lastRow="0" w:firstColumn="1" w:lastColumn="0" w:noHBand="0" w:noVBand="1"/>
      </w:tblPr>
      <w:tblGrid>
        <w:gridCol w:w="8828"/>
      </w:tblGrid>
      <w:tr w:rsidR="00D94F08" w14:paraId="743F24C9" w14:textId="77777777" w:rsidTr="00297704">
        <w:tc>
          <w:tcPr>
            <w:tcW w:w="8828" w:type="dxa"/>
          </w:tcPr>
          <w:p w14:paraId="71C3812A" w14:textId="77777777" w:rsidR="00D94F08" w:rsidRDefault="00D94F08" w:rsidP="00297704">
            <w:pPr>
              <w:autoSpaceDE w:val="0"/>
              <w:autoSpaceDN w:val="0"/>
              <w:adjustRightInd w:val="0"/>
              <w:spacing w:line="276" w:lineRule="auto"/>
              <w:jc w:val="center"/>
              <w:rPr>
                <w:rFonts w:ascii="Arial" w:hAnsi="Arial" w:cs="Arial"/>
                <w:sz w:val="18"/>
                <w:szCs w:val="18"/>
              </w:rPr>
            </w:pPr>
            <w:r w:rsidRPr="00754D97">
              <w:rPr>
                <w:noProof/>
                <w:sz w:val="18"/>
                <w:szCs w:val="18"/>
                <w:lang w:val="es-CR" w:eastAsia="es-CR"/>
              </w:rPr>
              <w:drawing>
                <wp:inline distT="0" distB="0" distL="0" distR="0" wp14:anchorId="6252C9CB" wp14:editId="4F26DD9A">
                  <wp:extent cx="1162659" cy="1562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5367" cy="1565739"/>
                          </a:xfrm>
                          <a:prstGeom prst="rect">
                            <a:avLst/>
                          </a:prstGeom>
                          <a:noFill/>
                          <a:ln>
                            <a:noFill/>
                          </a:ln>
                        </pic:spPr>
                      </pic:pic>
                    </a:graphicData>
                  </a:graphic>
                </wp:inline>
              </w:drawing>
            </w:r>
          </w:p>
        </w:tc>
      </w:tr>
      <w:tr w:rsidR="00D94F08" w:rsidRPr="00BB617F" w14:paraId="1EDFEAB3" w14:textId="77777777" w:rsidTr="00297704">
        <w:tc>
          <w:tcPr>
            <w:tcW w:w="8828" w:type="dxa"/>
          </w:tcPr>
          <w:p w14:paraId="35732F07" w14:textId="77777777" w:rsidR="00D94F08" w:rsidRPr="00297704" w:rsidRDefault="00D94F08" w:rsidP="00297704">
            <w:pPr>
              <w:autoSpaceDE w:val="0"/>
              <w:autoSpaceDN w:val="0"/>
              <w:adjustRightInd w:val="0"/>
              <w:spacing w:line="276" w:lineRule="auto"/>
              <w:jc w:val="both"/>
              <w:rPr>
                <w:rFonts w:ascii="Arial" w:hAnsi="Arial" w:cs="Arial"/>
                <w:iCs/>
                <w:sz w:val="20"/>
                <w:szCs w:val="20"/>
              </w:rPr>
            </w:pPr>
            <w:r w:rsidRPr="000A1824">
              <w:rPr>
                <w:rFonts w:ascii="Arial" w:hAnsi="Arial" w:cs="Arial"/>
                <w:iCs/>
                <w:sz w:val="20"/>
                <w:szCs w:val="20"/>
              </w:rPr>
              <w:t xml:space="preserve">Comparación entre la lesión inicial de la paciente (derecha) y la lesión posterior a 1 semana de tratamiento con </w:t>
            </w:r>
            <w:r w:rsidRPr="00297704">
              <w:rPr>
                <w:rFonts w:ascii="Arial" w:hAnsi="Arial" w:cs="Arial"/>
                <w:iCs/>
                <w:sz w:val="20"/>
                <w:szCs w:val="20"/>
                <w:lang w:val="es-CR"/>
              </w:rPr>
              <w:t>corticoesteroides (izquierda).</w:t>
            </w:r>
          </w:p>
        </w:tc>
      </w:tr>
    </w:tbl>
    <w:p w14:paraId="0F3B8FA0" w14:textId="77777777" w:rsidR="00D94F08" w:rsidRPr="00D94F08" w:rsidRDefault="00D94F08" w:rsidP="00D94F08">
      <w:pPr>
        <w:autoSpaceDE w:val="0"/>
        <w:autoSpaceDN w:val="0"/>
        <w:adjustRightInd w:val="0"/>
        <w:jc w:val="both"/>
        <w:rPr>
          <w:sz w:val="18"/>
          <w:szCs w:val="18"/>
          <w:lang w:val="es-CR"/>
        </w:rPr>
      </w:pPr>
    </w:p>
    <w:tbl>
      <w:tblPr>
        <w:tblStyle w:val="Tablaconcuadrcula"/>
        <w:tblW w:w="0" w:type="auto"/>
        <w:tblLook w:val="04A0" w:firstRow="1" w:lastRow="0" w:firstColumn="1" w:lastColumn="0" w:noHBand="0" w:noVBand="1"/>
      </w:tblPr>
      <w:tblGrid>
        <w:gridCol w:w="8828"/>
      </w:tblGrid>
      <w:tr w:rsidR="00D94F08" w14:paraId="08BA42C7" w14:textId="77777777" w:rsidTr="00297704">
        <w:tc>
          <w:tcPr>
            <w:tcW w:w="8828" w:type="dxa"/>
          </w:tcPr>
          <w:p w14:paraId="7B01A23F" w14:textId="77777777" w:rsidR="00D94F08" w:rsidRDefault="00D94F08" w:rsidP="00297704">
            <w:pPr>
              <w:autoSpaceDE w:val="0"/>
              <w:autoSpaceDN w:val="0"/>
              <w:adjustRightInd w:val="0"/>
              <w:spacing w:line="276" w:lineRule="auto"/>
              <w:jc w:val="center"/>
              <w:rPr>
                <w:rFonts w:ascii="Arial" w:hAnsi="Arial" w:cs="Arial"/>
                <w:sz w:val="18"/>
                <w:szCs w:val="18"/>
              </w:rPr>
            </w:pPr>
            <w:r w:rsidRPr="00754D97">
              <w:rPr>
                <w:noProof/>
                <w:sz w:val="18"/>
                <w:szCs w:val="18"/>
                <w:lang w:val="es-CR" w:eastAsia="es-CR"/>
              </w:rPr>
              <w:lastRenderedPageBreak/>
              <w:drawing>
                <wp:inline distT="0" distB="0" distL="0" distR="0" wp14:anchorId="309D75B9" wp14:editId="4D11CE14">
                  <wp:extent cx="1585608" cy="2114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8708" cy="2118684"/>
                          </a:xfrm>
                          <a:prstGeom prst="rect">
                            <a:avLst/>
                          </a:prstGeom>
                          <a:noFill/>
                          <a:ln>
                            <a:noFill/>
                          </a:ln>
                        </pic:spPr>
                      </pic:pic>
                    </a:graphicData>
                  </a:graphic>
                </wp:inline>
              </w:drawing>
            </w:r>
          </w:p>
        </w:tc>
      </w:tr>
      <w:tr w:rsidR="00D94F08" w:rsidRPr="00BB617F" w14:paraId="622A9311" w14:textId="77777777" w:rsidTr="00297704">
        <w:tc>
          <w:tcPr>
            <w:tcW w:w="8828" w:type="dxa"/>
          </w:tcPr>
          <w:p w14:paraId="6CA07161" w14:textId="77777777" w:rsidR="00D94F08" w:rsidRPr="00297704" w:rsidRDefault="00D94F08" w:rsidP="00297704">
            <w:pPr>
              <w:autoSpaceDE w:val="0"/>
              <w:autoSpaceDN w:val="0"/>
              <w:adjustRightInd w:val="0"/>
              <w:spacing w:line="276" w:lineRule="auto"/>
              <w:jc w:val="both"/>
              <w:rPr>
                <w:rFonts w:ascii="Arial" w:hAnsi="Arial" w:cs="Arial"/>
                <w:iCs/>
                <w:sz w:val="20"/>
                <w:szCs w:val="20"/>
              </w:rPr>
            </w:pPr>
            <w:r w:rsidRPr="003E2AFF">
              <w:rPr>
                <w:rFonts w:ascii="Arial" w:hAnsi="Arial" w:cs="Arial"/>
                <w:iCs/>
                <w:sz w:val="20"/>
                <w:szCs w:val="20"/>
              </w:rPr>
              <w:t xml:space="preserve">Comparación entre la lesión inicial de la paciente (derecha) y la lesión posterior a 1 semana de tratamiento con </w:t>
            </w:r>
            <w:r w:rsidRPr="00297704">
              <w:rPr>
                <w:rFonts w:ascii="Arial" w:hAnsi="Arial" w:cs="Arial"/>
                <w:iCs/>
                <w:sz w:val="20"/>
                <w:szCs w:val="20"/>
                <w:lang w:val="es-CR"/>
              </w:rPr>
              <w:t>corticoesteroides (izquierda).</w:t>
            </w:r>
          </w:p>
        </w:tc>
      </w:tr>
    </w:tbl>
    <w:p w14:paraId="5764DBDF" w14:textId="28B31680" w:rsidR="00D94F08" w:rsidRPr="00D94F08" w:rsidRDefault="00D94F08" w:rsidP="00D94F08">
      <w:pPr>
        <w:autoSpaceDE w:val="0"/>
        <w:autoSpaceDN w:val="0"/>
        <w:adjustRightInd w:val="0"/>
        <w:jc w:val="both"/>
        <w:rPr>
          <w:sz w:val="20"/>
          <w:szCs w:val="20"/>
          <w:lang w:val="es-CR"/>
        </w:rPr>
      </w:pPr>
    </w:p>
    <w:sectPr w:rsidR="00D94F08" w:rsidRPr="00D94F08" w:rsidSect="00D94F08">
      <w:pgSz w:w="12240" w:h="15840"/>
      <w:pgMar w:top="1440" w:right="1467"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DF33C" w14:textId="77777777" w:rsidR="005669C3" w:rsidRDefault="005669C3" w:rsidP="00FB44B1">
      <w:pPr>
        <w:spacing w:line="240" w:lineRule="auto"/>
      </w:pPr>
      <w:r>
        <w:separator/>
      </w:r>
    </w:p>
  </w:endnote>
  <w:endnote w:type="continuationSeparator" w:id="0">
    <w:p w14:paraId="7D406E91" w14:textId="77777777" w:rsidR="005669C3" w:rsidRDefault="005669C3" w:rsidP="00FB44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Liberation Serif">
    <w:altName w:val="Times New Roman"/>
    <w:charset w:val="01"/>
    <w:family w:val="roman"/>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PS-BoldMT">
    <w:altName w:val="Times New Roman"/>
    <w:charset w:val="01"/>
    <w:family w:val="auto"/>
    <w:pitch w:val="default"/>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1307"/>
      <w:gridCol w:w="6828"/>
      <w:gridCol w:w="1198"/>
    </w:tblGrid>
    <w:tr w:rsidR="005669C3" w:rsidRPr="000A2BE8" w14:paraId="0DC6D396" w14:textId="77777777" w:rsidTr="009E4A48">
      <w:tc>
        <w:tcPr>
          <w:tcW w:w="700" w:type="pct"/>
          <w:shd w:val="clear" w:color="auto" w:fill="FFFFFF" w:themeFill="background1"/>
          <w:vAlign w:val="center"/>
        </w:tcPr>
        <w:p w14:paraId="31992B3B" w14:textId="62A72E35" w:rsidR="005669C3" w:rsidRPr="003270F2" w:rsidRDefault="004E0716" w:rsidP="00FB2E51">
          <w:pPr>
            <w:pStyle w:val="Piedepgina"/>
            <w:rPr>
              <w:rFonts w:ascii="Arial Black" w:hAnsi="Arial Black"/>
              <w:b/>
              <w:bCs/>
              <w:color w:val="002060"/>
            </w:rPr>
          </w:pPr>
          <w:r>
            <w:rPr>
              <w:rFonts w:ascii="Arial Black" w:hAnsi="Arial Black"/>
              <w:b/>
              <w:bCs/>
              <w:color w:val="002060"/>
            </w:rPr>
            <w:t>e1126</w:t>
          </w:r>
        </w:p>
      </w:tc>
      <w:tc>
        <w:tcPr>
          <w:tcW w:w="3658" w:type="pct"/>
          <w:vAlign w:val="center"/>
        </w:tcPr>
        <w:p w14:paraId="5C1C3B11" w14:textId="756DF533" w:rsidR="005669C3" w:rsidRPr="005860BC" w:rsidRDefault="005669C3" w:rsidP="00A83266">
          <w:pPr>
            <w:pStyle w:val="Piedepgina"/>
            <w:spacing w:line="276" w:lineRule="auto"/>
            <w:jc w:val="center"/>
            <w:rPr>
              <w:color w:val="002060"/>
              <w:sz w:val="16"/>
              <w:szCs w:val="16"/>
              <w:lang w:val="es-CR"/>
            </w:rPr>
          </w:pPr>
          <w:r w:rsidRPr="005860BC">
            <w:rPr>
              <w:color w:val="002060"/>
              <w:sz w:val="16"/>
              <w:szCs w:val="16"/>
              <w:lang w:val="es-CR"/>
            </w:rPr>
            <w:t xml:space="preserve">     </w:t>
          </w:r>
          <w:r w:rsidRPr="005860BC">
            <w:rPr>
              <w:noProof/>
              <w:color w:val="002060"/>
              <w:sz w:val="16"/>
              <w:szCs w:val="16"/>
              <w:lang w:val="es-CR" w:eastAsia="es-PE"/>
            </w:rPr>
            <w:t xml:space="preserve"> </w:t>
          </w:r>
          <w:r w:rsidR="00806F56">
            <w:rPr>
              <w:color w:val="002060"/>
              <w:sz w:val="16"/>
              <w:szCs w:val="16"/>
              <w:lang w:val="es-CR"/>
            </w:rPr>
            <w:t xml:space="preserve"> Vol. 9</w:t>
          </w:r>
          <w:r w:rsidRPr="005860BC">
            <w:rPr>
              <w:color w:val="002060"/>
              <w:sz w:val="16"/>
              <w:szCs w:val="16"/>
              <w:lang w:val="es-CR"/>
            </w:rPr>
            <w:t>(</w:t>
          </w:r>
          <w:r w:rsidR="00806F56">
            <w:rPr>
              <w:color w:val="002060"/>
              <w:sz w:val="16"/>
              <w:szCs w:val="16"/>
              <w:lang w:val="es-CR"/>
            </w:rPr>
            <w:t>1</w:t>
          </w:r>
          <w:r w:rsidRPr="005860BC">
            <w:rPr>
              <w:color w:val="002060"/>
              <w:sz w:val="16"/>
              <w:szCs w:val="16"/>
              <w:lang w:val="es-CR"/>
            </w:rPr>
            <w:t xml:space="preserve">), </w:t>
          </w:r>
          <w:r w:rsidR="00806F56">
            <w:rPr>
              <w:color w:val="002060"/>
              <w:sz w:val="16"/>
              <w:szCs w:val="16"/>
              <w:lang w:val="es-CR"/>
            </w:rPr>
            <w:t>enero</w:t>
          </w:r>
          <w:r w:rsidRPr="005860BC">
            <w:rPr>
              <w:color w:val="002060"/>
              <w:sz w:val="16"/>
              <w:szCs w:val="16"/>
              <w:lang w:val="es-CR"/>
            </w:rPr>
            <w:t xml:space="preserve"> 202</w:t>
          </w:r>
          <w:r w:rsidR="00806F56">
            <w:rPr>
              <w:color w:val="002060"/>
              <w:sz w:val="16"/>
              <w:szCs w:val="16"/>
              <w:lang w:val="es-CR"/>
            </w:rPr>
            <w:t>4</w:t>
          </w:r>
          <w:r w:rsidRPr="005860BC">
            <w:rPr>
              <w:color w:val="002060"/>
              <w:sz w:val="16"/>
              <w:szCs w:val="16"/>
              <w:lang w:val="es-CR"/>
            </w:rPr>
            <w:t xml:space="preserve"> - ISSN: 2215-4523 / e-ISSN: 2215-5279</w:t>
          </w:r>
        </w:p>
        <w:p w14:paraId="4212E3B3" w14:textId="77777777" w:rsidR="005669C3" w:rsidRPr="00AE5EA0" w:rsidRDefault="00B710EB" w:rsidP="00A83266">
          <w:pPr>
            <w:pStyle w:val="Piedepgina"/>
            <w:spacing w:line="276" w:lineRule="auto"/>
            <w:jc w:val="center"/>
            <w:rPr>
              <w:sz w:val="16"/>
              <w:szCs w:val="16"/>
              <w:lang w:val="es-CR"/>
            </w:rPr>
          </w:pPr>
          <w:hyperlink r:id="rId1" w:history="1">
            <w:r w:rsidR="005669C3" w:rsidRPr="00AE5EA0">
              <w:rPr>
                <w:rStyle w:val="Hipervnculo"/>
                <w:i/>
                <w:sz w:val="16"/>
                <w:szCs w:val="16"/>
                <w:lang w:val="es-CR"/>
              </w:rPr>
              <w:t>http://revistamedicasinergia.com</w:t>
            </w:r>
          </w:hyperlink>
          <w:r w:rsidR="005669C3" w:rsidRPr="00AE5EA0">
            <w:rPr>
              <w:color w:val="002060"/>
              <w:sz w:val="16"/>
              <w:szCs w:val="16"/>
              <w:lang w:val="es-CR"/>
            </w:rPr>
            <w:t xml:space="preserve"> </w:t>
          </w:r>
        </w:p>
      </w:tc>
      <w:tc>
        <w:tcPr>
          <w:tcW w:w="642" w:type="pct"/>
        </w:tcPr>
        <w:p w14:paraId="69B632C6" w14:textId="77777777" w:rsidR="005669C3" w:rsidRPr="00AE5EA0" w:rsidRDefault="005669C3" w:rsidP="00A83266">
          <w:pPr>
            <w:pStyle w:val="Piedepgina"/>
            <w:spacing w:line="276" w:lineRule="auto"/>
            <w:rPr>
              <w:color w:val="002060"/>
              <w:sz w:val="16"/>
              <w:szCs w:val="16"/>
              <w:lang w:val="es-CR"/>
            </w:rPr>
          </w:pPr>
          <w:r w:rsidRPr="00261200">
            <w:rPr>
              <w:noProof/>
              <w:sz w:val="20"/>
              <w:lang w:val="es-CR" w:eastAsia="es-CR"/>
            </w:rPr>
            <w:drawing>
              <wp:anchor distT="0" distB="0" distL="114300" distR="114300" simplePos="0" relativeHeight="251661312" behindDoc="0" locked="0" layoutInCell="1" allowOverlap="1" wp14:anchorId="1FAFEC6C" wp14:editId="3B0DB74A">
                <wp:simplePos x="0" y="0"/>
                <wp:positionH relativeFrom="margin">
                  <wp:posOffset>-25400</wp:posOffset>
                </wp:positionH>
                <wp:positionV relativeFrom="paragraph">
                  <wp:posOffset>22225</wp:posOffset>
                </wp:positionV>
                <wp:extent cx="677545" cy="238125"/>
                <wp:effectExtent l="0" t="0" r="8255" b="9525"/>
                <wp:wrapNone/>
                <wp:docPr id="1709703097" name="Imagen 1709703097"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E9EFB7F" w14:textId="77777777" w:rsidR="005669C3" w:rsidRPr="00D0398E" w:rsidRDefault="005669C3" w:rsidP="00D0398E">
    <w:pPr>
      <w:pStyle w:val="Piedepgina"/>
      <w:jc w:val="both"/>
      <w:rPr>
        <w:sz w:val="2"/>
        <w:lang w:val="es-C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25" w:type="pct"/>
      <w:tblCellMar>
        <w:top w:w="72" w:type="dxa"/>
        <w:left w:w="115" w:type="dxa"/>
        <w:bottom w:w="72" w:type="dxa"/>
        <w:right w:w="115" w:type="dxa"/>
      </w:tblCellMar>
      <w:tblLook w:val="04A0" w:firstRow="1" w:lastRow="0" w:firstColumn="1" w:lastColumn="0" w:noHBand="0" w:noVBand="1"/>
    </w:tblPr>
    <w:tblGrid>
      <w:gridCol w:w="1314"/>
      <w:gridCol w:w="6862"/>
      <w:gridCol w:w="1204"/>
    </w:tblGrid>
    <w:tr w:rsidR="005669C3" w:rsidRPr="007B5563" w14:paraId="613288F4" w14:textId="77777777" w:rsidTr="00EA46DB">
      <w:trPr>
        <w:trHeight w:val="122"/>
      </w:trPr>
      <w:tc>
        <w:tcPr>
          <w:tcW w:w="700" w:type="pct"/>
          <w:shd w:val="clear" w:color="auto" w:fill="FFFFFF" w:themeFill="background1"/>
          <w:vAlign w:val="center"/>
        </w:tcPr>
        <w:p w14:paraId="75E166F2" w14:textId="76343752" w:rsidR="005669C3" w:rsidRPr="003270F2" w:rsidRDefault="004E0716" w:rsidP="00FB2E51">
          <w:pPr>
            <w:pStyle w:val="Piedepgina"/>
            <w:rPr>
              <w:rFonts w:ascii="Arial Black" w:hAnsi="Arial Black"/>
              <w:b/>
              <w:bCs/>
              <w:color w:val="002060"/>
            </w:rPr>
          </w:pPr>
          <w:r>
            <w:rPr>
              <w:rFonts w:ascii="Arial Black" w:hAnsi="Arial Black"/>
              <w:b/>
              <w:bCs/>
              <w:color w:val="002060"/>
            </w:rPr>
            <w:t>e</w:t>
          </w:r>
          <w:r w:rsidR="001B7FED">
            <w:rPr>
              <w:rFonts w:ascii="Arial Black" w:hAnsi="Arial Black"/>
              <w:b/>
              <w:bCs/>
              <w:color w:val="002060"/>
            </w:rPr>
            <w:t>1126</w:t>
          </w:r>
        </w:p>
      </w:tc>
      <w:tc>
        <w:tcPr>
          <w:tcW w:w="3658" w:type="pct"/>
          <w:vAlign w:val="center"/>
        </w:tcPr>
        <w:p w14:paraId="633751BD" w14:textId="6FAB5E46" w:rsidR="005669C3" w:rsidRPr="005860BC" w:rsidRDefault="005669C3" w:rsidP="00EA46DB">
          <w:pPr>
            <w:pStyle w:val="Piedepgina"/>
            <w:spacing w:line="276" w:lineRule="auto"/>
            <w:jc w:val="center"/>
            <w:rPr>
              <w:color w:val="002060"/>
              <w:sz w:val="16"/>
              <w:szCs w:val="16"/>
              <w:lang w:val="es-CR"/>
            </w:rPr>
          </w:pPr>
          <w:r w:rsidRPr="005860BC">
            <w:rPr>
              <w:color w:val="002060"/>
              <w:sz w:val="16"/>
              <w:szCs w:val="16"/>
              <w:lang w:val="es-CR"/>
            </w:rPr>
            <w:t xml:space="preserve">     </w:t>
          </w:r>
          <w:r w:rsidRPr="005860BC">
            <w:rPr>
              <w:noProof/>
              <w:color w:val="002060"/>
              <w:sz w:val="16"/>
              <w:szCs w:val="16"/>
              <w:lang w:val="es-CR" w:eastAsia="es-PE"/>
            </w:rPr>
            <w:t xml:space="preserve"> </w:t>
          </w:r>
          <w:r w:rsidRPr="005860BC">
            <w:rPr>
              <w:color w:val="002060"/>
              <w:sz w:val="16"/>
              <w:szCs w:val="16"/>
              <w:lang w:val="es-CR"/>
            </w:rPr>
            <w:t xml:space="preserve"> Vol. </w:t>
          </w:r>
          <w:r w:rsidR="00806F56">
            <w:rPr>
              <w:color w:val="002060"/>
              <w:sz w:val="16"/>
              <w:szCs w:val="16"/>
              <w:lang w:val="es-CR"/>
            </w:rPr>
            <w:t>9</w:t>
          </w:r>
          <w:r w:rsidRPr="005860BC">
            <w:rPr>
              <w:color w:val="002060"/>
              <w:sz w:val="16"/>
              <w:szCs w:val="16"/>
              <w:lang w:val="es-CR"/>
            </w:rPr>
            <w:t>(</w:t>
          </w:r>
          <w:r w:rsidR="00806F56">
            <w:rPr>
              <w:color w:val="002060"/>
              <w:sz w:val="16"/>
              <w:szCs w:val="16"/>
              <w:lang w:val="es-CR"/>
            </w:rPr>
            <w:t>1</w:t>
          </w:r>
          <w:r w:rsidRPr="005860BC">
            <w:rPr>
              <w:color w:val="002060"/>
              <w:sz w:val="16"/>
              <w:szCs w:val="16"/>
              <w:lang w:val="es-CR"/>
            </w:rPr>
            <w:t xml:space="preserve">), </w:t>
          </w:r>
          <w:r w:rsidR="00806F56">
            <w:rPr>
              <w:color w:val="002060"/>
              <w:sz w:val="16"/>
              <w:szCs w:val="16"/>
              <w:lang w:val="es-CR"/>
            </w:rPr>
            <w:t>enero</w:t>
          </w:r>
          <w:r>
            <w:rPr>
              <w:color w:val="002060"/>
              <w:sz w:val="16"/>
              <w:szCs w:val="16"/>
              <w:lang w:val="es-CR"/>
            </w:rPr>
            <w:t xml:space="preserve"> 202</w:t>
          </w:r>
          <w:r w:rsidR="00806F56">
            <w:rPr>
              <w:color w:val="002060"/>
              <w:sz w:val="16"/>
              <w:szCs w:val="16"/>
              <w:lang w:val="es-CR"/>
            </w:rPr>
            <w:t>4</w:t>
          </w:r>
          <w:r w:rsidRPr="005860BC">
            <w:rPr>
              <w:color w:val="002060"/>
              <w:sz w:val="16"/>
              <w:szCs w:val="16"/>
              <w:lang w:val="es-CR"/>
            </w:rPr>
            <w:t xml:space="preserve"> - ISSN: 2215-4523 / e-ISSN: 2215-5279</w:t>
          </w:r>
        </w:p>
        <w:p w14:paraId="5C47BB5E" w14:textId="77777777" w:rsidR="005669C3" w:rsidRPr="00AE5EA0" w:rsidRDefault="00B710EB" w:rsidP="00EA46DB">
          <w:pPr>
            <w:pStyle w:val="Piedepgina"/>
            <w:spacing w:line="276" w:lineRule="auto"/>
            <w:jc w:val="center"/>
            <w:rPr>
              <w:sz w:val="16"/>
              <w:szCs w:val="16"/>
              <w:lang w:val="es-CR"/>
            </w:rPr>
          </w:pPr>
          <w:hyperlink r:id="rId1" w:history="1">
            <w:r w:rsidR="005669C3" w:rsidRPr="00AE5EA0">
              <w:rPr>
                <w:rStyle w:val="Hipervnculo"/>
                <w:i/>
                <w:sz w:val="16"/>
                <w:szCs w:val="16"/>
                <w:lang w:val="es-CR"/>
              </w:rPr>
              <w:t>http://revistamedicasinergia.com</w:t>
            </w:r>
          </w:hyperlink>
          <w:r w:rsidR="005669C3" w:rsidRPr="00AE5EA0">
            <w:rPr>
              <w:color w:val="002060"/>
              <w:sz w:val="16"/>
              <w:szCs w:val="16"/>
              <w:lang w:val="es-CR"/>
            </w:rPr>
            <w:t xml:space="preserve"> </w:t>
          </w:r>
        </w:p>
      </w:tc>
      <w:tc>
        <w:tcPr>
          <w:tcW w:w="642" w:type="pct"/>
        </w:tcPr>
        <w:p w14:paraId="46EBDAB7" w14:textId="77777777" w:rsidR="005669C3" w:rsidRPr="00AE5EA0" w:rsidRDefault="005669C3" w:rsidP="00EA46DB">
          <w:pPr>
            <w:pStyle w:val="Piedepgina"/>
            <w:spacing w:line="276" w:lineRule="auto"/>
            <w:rPr>
              <w:color w:val="002060"/>
              <w:sz w:val="16"/>
              <w:szCs w:val="16"/>
              <w:lang w:val="es-CR"/>
            </w:rPr>
          </w:pPr>
          <w:r w:rsidRPr="00261200">
            <w:rPr>
              <w:noProof/>
              <w:sz w:val="20"/>
              <w:lang w:val="es-CR" w:eastAsia="es-CR"/>
            </w:rPr>
            <w:drawing>
              <wp:anchor distT="0" distB="0" distL="114300" distR="114300" simplePos="0" relativeHeight="251663360" behindDoc="0" locked="0" layoutInCell="1" allowOverlap="1" wp14:anchorId="6ABCD6C0" wp14:editId="698762FB">
                <wp:simplePos x="0" y="0"/>
                <wp:positionH relativeFrom="margin">
                  <wp:posOffset>-25400</wp:posOffset>
                </wp:positionH>
                <wp:positionV relativeFrom="paragraph">
                  <wp:posOffset>22225</wp:posOffset>
                </wp:positionV>
                <wp:extent cx="677545" cy="238125"/>
                <wp:effectExtent l="0" t="0" r="8255" b="9525"/>
                <wp:wrapNone/>
                <wp:docPr id="471605835" name="Imagen 471605835"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D082400" w14:textId="77777777" w:rsidR="005669C3" w:rsidRPr="00EA46DB" w:rsidRDefault="005669C3">
    <w:pPr>
      <w:pStyle w:val="Piedepgina"/>
      <w:rPr>
        <w:sz w:val="2"/>
        <w:lang w:val="es-C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6A01F" w14:textId="77777777" w:rsidR="005669C3" w:rsidRDefault="005669C3" w:rsidP="00FB44B1">
      <w:pPr>
        <w:spacing w:line="240" w:lineRule="auto"/>
      </w:pPr>
      <w:r>
        <w:separator/>
      </w:r>
    </w:p>
  </w:footnote>
  <w:footnote w:type="continuationSeparator" w:id="0">
    <w:p w14:paraId="72136FA8" w14:textId="77777777" w:rsidR="005669C3" w:rsidRDefault="005669C3" w:rsidP="00FB44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6146" w14:textId="77777777" w:rsidR="008366EC" w:rsidRDefault="008366EC" w:rsidP="000A7FFE">
    <w:pPr>
      <w:pStyle w:val="Encabezado"/>
      <w:jc w:val="right"/>
      <w:rPr>
        <w:color w:val="002060"/>
        <w:sz w:val="15"/>
        <w:szCs w:val="15"/>
        <w:lang w:val="es-CR"/>
      </w:rPr>
    </w:pPr>
    <w:r w:rsidRPr="008366EC">
      <w:rPr>
        <w:color w:val="002060"/>
        <w:sz w:val="15"/>
        <w:szCs w:val="15"/>
        <w:lang w:val="es-CR"/>
      </w:rPr>
      <w:t>Pioderma gangrenoso como presentación inicial de colitis ulcerosa: reporte de caso</w:t>
    </w:r>
  </w:p>
  <w:p w14:paraId="3736CAFC" w14:textId="604E0724" w:rsidR="005669C3" w:rsidRPr="008206FF" w:rsidRDefault="004E0716" w:rsidP="000A7FFE">
    <w:pPr>
      <w:pStyle w:val="Encabezado"/>
      <w:jc w:val="right"/>
      <w:rPr>
        <w:sz w:val="18"/>
        <w:szCs w:val="18"/>
        <w:lang w:val="es-CR"/>
      </w:rPr>
    </w:pPr>
    <w:r>
      <w:rPr>
        <w:bCs/>
        <w:color w:val="002060"/>
        <w:sz w:val="15"/>
        <w:szCs w:val="15"/>
        <w:lang w:val="es-CR"/>
      </w:rPr>
      <w:t xml:space="preserve">Dr. </w:t>
    </w:r>
    <w:r w:rsidR="008366EC">
      <w:rPr>
        <w:bCs/>
        <w:color w:val="002060"/>
        <w:sz w:val="15"/>
        <w:szCs w:val="15"/>
        <w:lang w:val="es-CR"/>
      </w:rPr>
      <w:t>José Gerardo López Sáenz</w:t>
    </w:r>
    <w:r w:rsidR="00DC3CCB">
      <w:rPr>
        <w:bCs/>
        <w:color w:val="002060"/>
        <w:sz w:val="15"/>
        <w:szCs w:val="15"/>
        <w:lang w:val="es-CR"/>
      </w:rPr>
      <w:t xml:space="preserve">, </w:t>
    </w:r>
    <w:r w:rsidR="00DC3CCB" w:rsidRPr="00DC3CCB">
      <w:rPr>
        <w:bCs/>
        <w:color w:val="002060"/>
        <w:sz w:val="15"/>
        <w:szCs w:val="15"/>
        <w:lang w:val="es-CR"/>
      </w:rPr>
      <w:t>Dr. Francisco Vargas Navarro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visibility:visible" o:bullet="t">
        <v:imagedata r:id="rId1" o:title=""/>
      </v:shape>
    </w:pict>
  </w:numPicBullet>
  <w:abstractNum w:abstractNumId="0" w15:restartNumberingAfterBreak="0">
    <w:nsid w:val="05BA6F26"/>
    <w:multiLevelType w:val="multilevel"/>
    <w:tmpl w:val="96DE604C"/>
    <w:styleLink w:val="WWNum3"/>
    <w:lvl w:ilvl="0">
      <w:numFmt w:val="bullet"/>
      <w:lvlText w:val="●"/>
      <w:lvlJc w:val="left"/>
      <w:pPr>
        <w:ind w:left="360" w:hanging="360"/>
      </w:pPr>
      <w:rPr>
        <w:rFonts w:ascii="Noto Sans Symbols" w:eastAsia="Noto Sans Symbols" w:hAnsi="Noto Sans Symbols" w:cs="Noto Sans Symbols"/>
        <w:b w:val="0"/>
        <w:sz w:val="22"/>
      </w:rPr>
    </w:lvl>
    <w:lvl w:ilvl="1">
      <w:numFmt w:val="bullet"/>
      <w:lvlText w:val="o"/>
      <w:lvlJc w:val="left"/>
      <w:pPr>
        <w:ind w:left="1080" w:hanging="360"/>
      </w:p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lvl>
    <w:lvl w:ilvl="8">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49310F"/>
    <w:multiLevelType w:val="hybridMultilevel"/>
    <w:tmpl w:val="8AB24E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D384DE3"/>
    <w:multiLevelType w:val="hybridMultilevel"/>
    <w:tmpl w:val="AB9603B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F641DB0"/>
    <w:multiLevelType w:val="hybridMultilevel"/>
    <w:tmpl w:val="5C6AB15C"/>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CC485D"/>
    <w:multiLevelType w:val="hybridMultilevel"/>
    <w:tmpl w:val="9B02317E"/>
    <w:styleLink w:val="Nmero"/>
    <w:lvl w:ilvl="0" w:tplc="123283B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83943A7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6A46857A">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FD68424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E7A8F3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4EF6B37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6290BEB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12FEF12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AB1824F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E136A26"/>
    <w:multiLevelType w:val="hybridMultilevel"/>
    <w:tmpl w:val="5636CEDC"/>
    <w:lvl w:ilvl="0" w:tplc="4372BDEE">
      <w:start w:val="1"/>
      <w:numFmt w:val="decimal"/>
      <w:lvlText w:val="%1."/>
      <w:lvlJc w:val="left"/>
      <w:pPr>
        <w:ind w:left="502" w:hanging="360"/>
      </w:pPr>
      <w:rPr>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90E2B37"/>
    <w:multiLevelType w:val="hybridMultilevel"/>
    <w:tmpl w:val="1632E1A2"/>
    <w:lvl w:ilvl="0" w:tplc="73E6C8F8">
      <w:start w:val="1"/>
      <w:numFmt w:val="bullet"/>
      <w:lvlText w:val=""/>
      <w:lvlPicBulletId w:val="0"/>
      <w:lvlJc w:val="left"/>
      <w:pPr>
        <w:ind w:left="720" w:hanging="360"/>
      </w:pPr>
      <w:rPr>
        <w:rFonts w:ascii="Symbol" w:hAnsi="Symbol" w:hint="default"/>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34D1146"/>
    <w:multiLevelType w:val="multilevel"/>
    <w:tmpl w:val="320A380E"/>
    <w:styleLink w:val="WWNum2"/>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lvl>
    <w:lvl w:ilvl="8">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5C72777"/>
    <w:multiLevelType w:val="hybridMultilevel"/>
    <w:tmpl w:val="9984F9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6903FB3"/>
    <w:multiLevelType w:val="hybridMultilevel"/>
    <w:tmpl w:val="4B5EA426"/>
    <w:lvl w:ilvl="0" w:tplc="DB7A9AA2">
      <w:start w:val="1"/>
      <w:numFmt w:val="decimal"/>
      <w:lvlText w:val="%1."/>
      <w:lvlJc w:val="left"/>
      <w:pPr>
        <w:ind w:left="720" w:hanging="360"/>
      </w:pPr>
      <w:rPr>
        <w:b w:val="0"/>
        <w:bCs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8EE1D09"/>
    <w:multiLevelType w:val="hybridMultilevel"/>
    <w:tmpl w:val="51405D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3620EF0"/>
    <w:multiLevelType w:val="hybridMultilevel"/>
    <w:tmpl w:val="E08283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AAD66E7"/>
    <w:multiLevelType w:val="hybridMultilevel"/>
    <w:tmpl w:val="139A3DA0"/>
    <w:styleLink w:val="ImportedStyle2"/>
    <w:lvl w:ilvl="0" w:tplc="8B2A579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FAF5F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8AD99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DEF59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0C452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98A5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2643C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EE2FD6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8A799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4086229"/>
    <w:multiLevelType w:val="hybridMultilevel"/>
    <w:tmpl w:val="2878E2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53D21AF"/>
    <w:multiLevelType w:val="multilevel"/>
    <w:tmpl w:val="132E5192"/>
    <w:styleLink w:val="WWNum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6702764E"/>
    <w:multiLevelType w:val="hybridMultilevel"/>
    <w:tmpl w:val="C25827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864158F"/>
    <w:multiLevelType w:val="hybridMultilevel"/>
    <w:tmpl w:val="9B02317E"/>
    <w:numStyleLink w:val="Nmero"/>
  </w:abstractNum>
  <w:abstractNum w:abstractNumId="17" w15:restartNumberingAfterBreak="0">
    <w:nsid w:val="7B67746D"/>
    <w:multiLevelType w:val="hybridMultilevel"/>
    <w:tmpl w:val="B85413B8"/>
    <w:styleLink w:val="ImportedStyle3"/>
    <w:lvl w:ilvl="0" w:tplc="DD524C4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B4863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14913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80821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3C4D5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F0107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B0C8B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3465B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BA8F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684018699">
    <w:abstractNumId w:val="6"/>
  </w:num>
  <w:num w:numId="2" w16cid:durableId="576939775">
    <w:abstractNumId w:val="7"/>
  </w:num>
  <w:num w:numId="3" w16cid:durableId="1852836866">
    <w:abstractNumId w:val="0"/>
  </w:num>
  <w:num w:numId="4" w16cid:durableId="1440374956">
    <w:abstractNumId w:val="14"/>
  </w:num>
  <w:num w:numId="5" w16cid:durableId="1073426484">
    <w:abstractNumId w:val="12"/>
  </w:num>
  <w:num w:numId="6" w16cid:durableId="1454908560">
    <w:abstractNumId w:val="17"/>
  </w:num>
  <w:num w:numId="7" w16cid:durableId="161510080">
    <w:abstractNumId w:val="13"/>
  </w:num>
  <w:num w:numId="8" w16cid:durableId="1816677878">
    <w:abstractNumId w:val="11"/>
  </w:num>
  <w:num w:numId="9" w16cid:durableId="336463609">
    <w:abstractNumId w:val="15"/>
  </w:num>
  <w:num w:numId="10" w16cid:durableId="353576770">
    <w:abstractNumId w:val="3"/>
  </w:num>
  <w:num w:numId="11" w16cid:durableId="474218940">
    <w:abstractNumId w:val="8"/>
  </w:num>
  <w:num w:numId="12" w16cid:durableId="149445058">
    <w:abstractNumId w:val="10"/>
  </w:num>
  <w:num w:numId="13" w16cid:durableId="639069092">
    <w:abstractNumId w:val="9"/>
  </w:num>
  <w:num w:numId="14" w16cid:durableId="338897345">
    <w:abstractNumId w:val="7"/>
    <w:lvlOverride w:ilvl="0">
      <w:startOverride w:val="1"/>
    </w:lvlOverride>
  </w:num>
  <w:num w:numId="15" w16cid:durableId="1375540192">
    <w:abstractNumId w:val="1"/>
  </w:num>
  <w:num w:numId="16" w16cid:durableId="865407694">
    <w:abstractNumId w:val="5"/>
  </w:num>
  <w:num w:numId="17" w16cid:durableId="741832302">
    <w:abstractNumId w:val="4"/>
  </w:num>
  <w:num w:numId="18" w16cid:durableId="1772241246">
    <w:abstractNumId w:val="16"/>
  </w:num>
  <w:num w:numId="19" w16cid:durableId="2139689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572"/>
    <w:rsid w:val="00011C81"/>
    <w:rsid w:val="00015739"/>
    <w:rsid w:val="000169A7"/>
    <w:rsid w:val="000206E0"/>
    <w:rsid w:val="0002313C"/>
    <w:rsid w:val="00025435"/>
    <w:rsid w:val="000260EB"/>
    <w:rsid w:val="00043AB5"/>
    <w:rsid w:val="00043C2B"/>
    <w:rsid w:val="0004660B"/>
    <w:rsid w:val="0005117F"/>
    <w:rsid w:val="00052E3E"/>
    <w:rsid w:val="00070232"/>
    <w:rsid w:val="00072572"/>
    <w:rsid w:val="00075BD9"/>
    <w:rsid w:val="00076420"/>
    <w:rsid w:val="00081327"/>
    <w:rsid w:val="00085A6C"/>
    <w:rsid w:val="000861D7"/>
    <w:rsid w:val="00087E4B"/>
    <w:rsid w:val="00090213"/>
    <w:rsid w:val="000912A6"/>
    <w:rsid w:val="000A12B9"/>
    <w:rsid w:val="000A2BE8"/>
    <w:rsid w:val="000A3E2F"/>
    <w:rsid w:val="000A6B22"/>
    <w:rsid w:val="000A7429"/>
    <w:rsid w:val="000A7FFE"/>
    <w:rsid w:val="000B283B"/>
    <w:rsid w:val="000B5925"/>
    <w:rsid w:val="000B7104"/>
    <w:rsid w:val="000C2326"/>
    <w:rsid w:val="000C2CD6"/>
    <w:rsid w:val="000C3AB5"/>
    <w:rsid w:val="000C6106"/>
    <w:rsid w:val="000D16EC"/>
    <w:rsid w:val="000D6A22"/>
    <w:rsid w:val="000D7572"/>
    <w:rsid w:val="000E2F57"/>
    <w:rsid w:val="000F2611"/>
    <w:rsid w:val="001009B6"/>
    <w:rsid w:val="00110886"/>
    <w:rsid w:val="001153F5"/>
    <w:rsid w:val="001207E8"/>
    <w:rsid w:val="00127B05"/>
    <w:rsid w:val="001333F2"/>
    <w:rsid w:val="00141C24"/>
    <w:rsid w:val="00142949"/>
    <w:rsid w:val="00146625"/>
    <w:rsid w:val="00161F5E"/>
    <w:rsid w:val="0016250C"/>
    <w:rsid w:val="00176825"/>
    <w:rsid w:val="00177C1D"/>
    <w:rsid w:val="001816D5"/>
    <w:rsid w:val="00182689"/>
    <w:rsid w:val="001842D3"/>
    <w:rsid w:val="001A30C1"/>
    <w:rsid w:val="001A3529"/>
    <w:rsid w:val="001B21F3"/>
    <w:rsid w:val="001B7FED"/>
    <w:rsid w:val="001C3BAB"/>
    <w:rsid w:val="001C7B0E"/>
    <w:rsid w:val="001D54D3"/>
    <w:rsid w:val="001D6BC6"/>
    <w:rsid w:val="001D7EE2"/>
    <w:rsid w:val="001E6C0B"/>
    <w:rsid w:val="001F31F6"/>
    <w:rsid w:val="001F50BC"/>
    <w:rsid w:val="001F5308"/>
    <w:rsid w:val="001F553C"/>
    <w:rsid w:val="00200857"/>
    <w:rsid w:val="00203D83"/>
    <w:rsid w:val="00204322"/>
    <w:rsid w:val="002057B8"/>
    <w:rsid w:val="00206F53"/>
    <w:rsid w:val="002222A4"/>
    <w:rsid w:val="00223206"/>
    <w:rsid w:val="00225247"/>
    <w:rsid w:val="0023113C"/>
    <w:rsid w:val="00233C0B"/>
    <w:rsid w:val="00236C9A"/>
    <w:rsid w:val="0024018E"/>
    <w:rsid w:val="002406EF"/>
    <w:rsid w:val="00246028"/>
    <w:rsid w:val="002477D5"/>
    <w:rsid w:val="002556F3"/>
    <w:rsid w:val="00255B7D"/>
    <w:rsid w:val="002747EC"/>
    <w:rsid w:val="002A0C3C"/>
    <w:rsid w:val="002B1316"/>
    <w:rsid w:val="002B3F8E"/>
    <w:rsid w:val="002B4650"/>
    <w:rsid w:val="002C3364"/>
    <w:rsid w:val="002C3DD7"/>
    <w:rsid w:val="002C58CD"/>
    <w:rsid w:val="002C6183"/>
    <w:rsid w:val="002C72E7"/>
    <w:rsid w:val="002D2BFC"/>
    <w:rsid w:val="002D6C19"/>
    <w:rsid w:val="002E0DE0"/>
    <w:rsid w:val="002E2D23"/>
    <w:rsid w:val="002E3F2D"/>
    <w:rsid w:val="00300D0B"/>
    <w:rsid w:val="003013BF"/>
    <w:rsid w:val="003025AF"/>
    <w:rsid w:val="0031108A"/>
    <w:rsid w:val="00314114"/>
    <w:rsid w:val="003270F2"/>
    <w:rsid w:val="00332CD9"/>
    <w:rsid w:val="00340FDF"/>
    <w:rsid w:val="0034265D"/>
    <w:rsid w:val="00346951"/>
    <w:rsid w:val="0035587B"/>
    <w:rsid w:val="00356E6F"/>
    <w:rsid w:val="00357A9B"/>
    <w:rsid w:val="00366926"/>
    <w:rsid w:val="0037104B"/>
    <w:rsid w:val="00373505"/>
    <w:rsid w:val="00373E27"/>
    <w:rsid w:val="003757A9"/>
    <w:rsid w:val="00376D99"/>
    <w:rsid w:val="00390B6B"/>
    <w:rsid w:val="003A3BE4"/>
    <w:rsid w:val="003A5BE6"/>
    <w:rsid w:val="003A7E40"/>
    <w:rsid w:val="003B4333"/>
    <w:rsid w:val="003C2CE7"/>
    <w:rsid w:val="003D0B5A"/>
    <w:rsid w:val="003D3923"/>
    <w:rsid w:val="003D41E2"/>
    <w:rsid w:val="003E0DDE"/>
    <w:rsid w:val="003E4B29"/>
    <w:rsid w:val="003E573F"/>
    <w:rsid w:val="003E73B8"/>
    <w:rsid w:val="003F4E9F"/>
    <w:rsid w:val="004004A6"/>
    <w:rsid w:val="00403B40"/>
    <w:rsid w:val="00411F51"/>
    <w:rsid w:val="00413139"/>
    <w:rsid w:val="00414414"/>
    <w:rsid w:val="00415000"/>
    <w:rsid w:val="0044651B"/>
    <w:rsid w:val="00457E5C"/>
    <w:rsid w:val="00467A1E"/>
    <w:rsid w:val="00473115"/>
    <w:rsid w:val="0049160E"/>
    <w:rsid w:val="00491DB7"/>
    <w:rsid w:val="0049254A"/>
    <w:rsid w:val="004A3A02"/>
    <w:rsid w:val="004B4040"/>
    <w:rsid w:val="004B7A3D"/>
    <w:rsid w:val="004C0E10"/>
    <w:rsid w:val="004D03FC"/>
    <w:rsid w:val="004D2A75"/>
    <w:rsid w:val="004D3BAD"/>
    <w:rsid w:val="004D7BD5"/>
    <w:rsid w:val="004E0716"/>
    <w:rsid w:val="004E0917"/>
    <w:rsid w:val="004F1E55"/>
    <w:rsid w:val="004F37F1"/>
    <w:rsid w:val="00501438"/>
    <w:rsid w:val="00504F06"/>
    <w:rsid w:val="00507BEF"/>
    <w:rsid w:val="00512939"/>
    <w:rsid w:val="005179EF"/>
    <w:rsid w:val="00520F61"/>
    <w:rsid w:val="00525F1A"/>
    <w:rsid w:val="00526D59"/>
    <w:rsid w:val="00545AA6"/>
    <w:rsid w:val="00546B1D"/>
    <w:rsid w:val="005557B5"/>
    <w:rsid w:val="00563D26"/>
    <w:rsid w:val="00565973"/>
    <w:rsid w:val="005669C3"/>
    <w:rsid w:val="0056790F"/>
    <w:rsid w:val="00571BD2"/>
    <w:rsid w:val="005725A3"/>
    <w:rsid w:val="005860BC"/>
    <w:rsid w:val="00590875"/>
    <w:rsid w:val="00590B18"/>
    <w:rsid w:val="00591633"/>
    <w:rsid w:val="00592C8B"/>
    <w:rsid w:val="005B4DFC"/>
    <w:rsid w:val="005C096A"/>
    <w:rsid w:val="005D62B0"/>
    <w:rsid w:val="005F0546"/>
    <w:rsid w:val="005F1FA0"/>
    <w:rsid w:val="00601DC5"/>
    <w:rsid w:val="006122DA"/>
    <w:rsid w:val="00623094"/>
    <w:rsid w:val="00634FDB"/>
    <w:rsid w:val="00636466"/>
    <w:rsid w:val="0064019C"/>
    <w:rsid w:val="0064362F"/>
    <w:rsid w:val="006458AD"/>
    <w:rsid w:val="00652DB8"/>
    <w:rsid w:val="006553FE"/>
    <w:rsid w:val="006647D1"/>
    <w:rsid w:val="00666AF3"/>
    <w:rsid w:val="006715DE"/>
    <w:rsid w:val="00674C6B"/>
    <w:rsid w:val="00674CB7"/>
    <w:rsid w:val="00682131"/>
    <w:rsid w:val="00690573"/>
    <w:rsid w:val="00694ABE"/>
    <w:rsid w:val="006A1304"/>
    <w:rsid w:val="006A1A38"/>
    <w:rsid w:val="006A2970"/>
    <w:rsid w:val="006A3048"/>
    <w:rsid w:val="006A4FB5"/>
    <w:rsid w:val="006A4FF4"/>
    <w:rsid w:val="006C06E7"/>
    <w:rsid w:val="006C6841"/>
    <w:rsid w:val="006C7C60"/>
    <w:rsid w:val="006E05CB"/>
    <w:rsid w:val="006E6470"/>
    <w:rsid w:val="006E6C75"/>
    <w:rsid w:val="006F11AC"/>
    <w:rsid w:val="006F12BA"/>
    <w:rsid w:val="006F7BCA"/>
    <w:rsid w:val="00705239"/>
    <w:rsid w:val="00706C4F"/>
    <w:rsid w:val="007074A7"/>
    <w:rsid w:val="00721BE1"/>
    <w:rsid w:val="00726F5F"/>
    <w:rsid w:val="0073664C"/>
    <w:rsid w:val="00742429"/>
    <w:rsid w:val="00743CB5"/>
    <w:rsid w:val="00762F81"/>
    <w:rsid w:val="0076653A"/>
    <w:rsid w:val="00767B51"/>
    <w:rsid w:val="00780E32"/>
    <w:rsid w:val="00782C38"/>
    <w:rsid w:val="00794DEB"/>
    <w:rsid w:val="007A3F95"/>
    <w:rsid w:val="007A7CA1"/>
    <w:rsid w:val="007B5563"/>
    <w:rsid w:val="007E0AD1"/>
    <w:rsid w:val="00802BAD"/>
    <w:rsid w:val="00806F56"/>
    <w:rsid w:val="00813903"/>
    <w:rsid w:val="008206FF"/>
    <w:rsid w:val="00821D61"/>
    <w:rsid w:val="0082698E"/>
    <w:rsid w:val="00826FB5"/>
    <w:rsid w:val="00827495"/>
    <w:rsid w:val="008366EC"/>
    <w:rsid w:val="0084698F"/>
    <w:rsid w:val="00850576"/>
    <w:rsid w:val="0085674A"/>
    <w:rsid w:val="00863D29"/>
    <w:rsid w:val="00870E10"/>
    <w:rsid w:val="008735E3"/>
    <w:rsid w:val="008767A1"/>
    <w:rsid w:val="00877304"/>
    <w:rsid w:val="008842B7"/>
    <w:rsid w:val="00887E4B"/>
    <w:rsid w:val="008A4301"/>
    <w:rsid w:val="008B0078"/>
    <w:rsid w:val="008B100F"/>
    <w:rsid w:val="008C34EE"/>
    <w:rsid w:val="008D2354"/>
    <w:rsid w:val="008E19C4"/>
    <w:rsid w:val="008F4548"/>
    <w:rsid w:val="00903417"/>
    <w:rsid w:val="00912413"/>
    <w:rsid w:val="00926A7F"/>
    <w:rsid w:val="0093004E"/>
    <w:rsid w:val="009348FF"/>
    <w:rsid w:val="00942013"/>
    <w:rsid w:val="009604E4"/>
    <w:rsid w:val="0096143D"/>
    <w:rsid w:val="00961FF7"/>
    <w:rsid w:val="00962C15"/>
    <w:rsid w:val="00963CFA"/>
    <w:rsid w:val="00963F06"/>
    <w:rsid w:val="009650E1"/>
    <w:rsid w:val="00970792"/>
    <w:rsid w:val="00973AFD"/>
    <w:rsid w:val="00984027"/>
    <w:rsid w:val="009844CE"/>
    <w:rsid w:val="00986966"/>
    <w:rsid w:val="009A4B47"/>
    <w:rsid w:val="009B7F61"/>
    <w:rsid w:val="009C0C22"/>
    <w:rsid w:val="009C1167"/>
    <w:rsid w:val="009C2CDA"/>
    <w:rsid w:val="009D323B"/>
    <w:rsid w:val="009E1EC8"/>
    <w:rsid w:val="009E2369"/>
    <w:rsid w:val="009E3933"/>
    <w:rsid w:val="009E4A48"/>
    <w:rsid w:val="009F0D91"/>
    <w:rsid w:val="00A05503"/>
    <w:rsid w:val="00A0671C"/>
    <w:rsid w:val="00A20EB8"/>
    <w:rsid w:val="00A255AB"/>
    <w:rsid w:val="00A269AE"/>
    <w:rsid w:val="00A26B89"/>
    <w:rsid w:val="00A313C9"/>
    <w:rsid w:val="00A37222"/>
    <w:rsid w:val="00A47DE4"/>
    <w:rsid w:val="00A52EB7"/>
    <w:rsid w:val="00A5501E"/>
    <w:rsid w:val="00A5646B"/>
    <w:rsid w:val="00A56D06"/>
    <w:rsid w:val="00A579FB"/>
    <w:rsid w:val="00A65F12"/>
    <w:rsid w:val="00A73B18"/>
    <w:rsid w:val="00A80C03"/>
    <w:rsid w:val="00A811F8"/>
    <w:rsid w:val="00A83266"/>
    <w:rsid w:val="00A85E5E"/>
    <w:rsid w:val="00A865C1"/>
    <w:rsid w:val="00A87D99"/>
    <w:rsid w:val="00A90252"/>
    <w:rsid w:val="00A91DF6"/>
    <w:rsid w:val="00A92DCA"/>
    <w:rsid w:val="00A93FC7"/>
    <w:rsid w:val="00AA1AB2"/>
    <w:rsid w:val="00AB3612"/>
    <w:rsid w:val="00AB68B4"/>
    <w:rsid w:val="00AC131A"/>
    <w:rsid w:val="00AD35B5"/>
    <w:rsid w:val="00AE32D5"/>
    <w:rsid w:val="00AE3E07"/>
    <w:rsid w:val="00AE5EA0"/>
    <w:rsid w:val="00AF2D3A"/>
    <w:rsid w:val="00AF36EA"/>
    <w:rsid w:val="00B010EC"/>
    <w:rsid w:val="00B056CF"/>
    <w:rsid w:val="00B05B23"/>
    <w:rsid w:val="00B1240A"/>
    <w:rsid w:val="00B159CB"/>
    <w:rsid w:val="00B223D7"/>
    <w:rsid w:val="00B352C3"/>
    <w:rsid w:val="00B355A1"/>
    <w:rsid w:val="00B4048C"/>
    <w:rsid w:val="00B411ED"/>
    <w:rsid w:val="00B41AFF"/>
    <w:rsid w:val="00B42108"/>
    <w:rsid w:val="00B50487"/>
    <w:rsid w:val="00B56C02"/>
    <w:rsid w:val="00B56E82"/>
    <w:rsid w:val="00B62FC8"/>
    <w:rsid w:val="00B643AF"/>
    <w:rsid w:val="00B66DB8"/>
    <w:rsid w:val="00B678BC"/>
    <w:rsid w:val="00B67A44"/>
    <w:rsid w:val="00B710EB"/>
    <w:rsid w:val="00B76820"/>
    <w:rsid w:val="00B76D4C"/>
    <w:rsid w:val="00B8084F"/>
    <w:rsid w:val="00B811D3"/>
    <w:rsid w:val="00B87723"/>
    <w:rsid w:val="00B910C0"/>
    <w:rsid w:val="00B97B37"/>
    <w:rsid w:val="00BB4F8D"/>
    <w:rsid w:val="00BB617F"/>
    <w:rsid w:val="00BB6E17"/>
    <w:rsid w:val="00BD27D0"/>
    <w:rsid w:val="00BE2B6B"/>
    <w:rsid w:val="00BE39FE"/>
    <w:rsid w:val="00BE40C1"/>
    <w:rsid w:val="00BF0D6C"/>
    <w:rsid w:val="00BF2D4E"/>
    <w:rsid w:val="00C04BFF"/>
    <w:rsid w:val="00C13F0A"/>
    <w:rsid w:val="00C1659B"/>
    <w:rsid w:val="00C1685D"/>
    <w:rsid w:val="00C21442"/>
    <w:rsid w:val="00C26E22"/>
    <w:rsid w:val="00C307E7"/>
    <w:rsid w:val="00C33436"/>
    <w:rsid w:val="00C458C7"/>
    <w:rsid w:val="00C51A9C"/>
    <w:rsid w:val="00C51C84"/>
    <w:rsid w:val="00C61933"/>
    <w:rsid w:val="00C62EDF"/>
    <w:rsid w:val="00C753AC"/>
    <w:rsid w:val="00C80868"/>
    <w:rsid w:val="00C80C81"/>
    <w:rsid w:val="00C8546D"/>
    <w:rsid w:val="00C85E89"/>
    <w:rsid w:val="00C911DE"/>
    <w:rsid w:val="00C96657"/>
    <w:rsid w:val="00CA6376"/>
    <w:rsid w:val="00CB09D2"/>
    <w:rsid w:val="00CB31B0"/>
    <w:rsid w:val="00CC40C3"/>
    <w:rsid w:val="00CD2D9A"/>
    <w:rsid w:val="00D0125A"/>
    <w:rsid w:val="00D035A4"/>
    <w:rsid w:val="00D0398E"/>
    <w:rsid w:val="00D03AB5"/>
    <w:rsid w:val="00D05840"/>
    <w:rsid w:val="00D128AE"/>
    <w:rsid w:val="00D141A5"/>
    <w:rsid w:val="00D149CC"/>
    <w:rsid w:val="00D34CBD"/>
    <w:rsid w:val="00D42D74"/>
    <w:rsid w:val="00D44C65"/>
    <w:rsid w:val="00D5195B"/>
    <w:rsid w:val="00D57625"/>
    <w:rsid w:val="00D6314F"/>
    <w:rsid w:val="00D71153"/>
    <w:rsid w:val="00D726D5"/>
    <w:rsid w:val="00D7509A"/>
    <w:rsid w:val="00D75EC8"/>
    <w:rsid w:val="00D76A9D"/>
    <w:rsid w:val="00D83D5A"/>
    <w:rsid w:val="00D92739"/>
    <w:rsid w:val="00D9428C"/>
    <w:rsid w:val="00D94F08"/>
    <w:rsid w:val="00DA0F4F"/>
    <w:rsid w:val="00DA6D6E"/>
    <w:rsid w:val="00DC1F0D"/>
    <w:rsid w:val="00DC3CCB"/>
    <w:rsid w:val="00DC58A3"/>
    <w:rsid w:val="00DD2C2B"/>
    <w:rsid w:val="00DD687C"/>
    <w:rsid w:val="00DD7B34"/>
    <w:rsid w:val="00DF7D2D"/>
    <w:rsid w:val="00E05531"/>
    <w:rsid w:val="00E07855"/>
    <w:rsid w:val="00E07F97"/>
    <w:rsid w:val="00E13AF9"/>
    <w:rsid w:val="00E477FF"/>
    <w:rsid w:val="00E47962"/>
    <w:rsid w:val="00E61038"/>
    <w:rsid w:val="00E64663"/>
    <w:rsid w:val="00E70AA0"/>
    <w:rsid w:val="00E831AF"/>
    <w:rsid w:val="00E84242"/>
    <w:rsid w:val="00E87A96"/>
    <w:rsid w:val="00E87B35"/>
    <w:rsid w:val="00EA1E86"/>
    <w:rsid w:val="00EA46DB"/>
    <w:rsid w:val="00EB0EB3"/>
    <w:rsid w:val="00EB335D"/>
    <w:rsid w:val="00EC4DC8"/>
    <w:rsid w:val="00ED5019"/>
    <w:rsid w:val="00ED7BE0"/>
    <w:rsid w:val="00EE1579"/>
    <w:rsid w:val="00EF58F0"/>
    <w:rsid w:val="00F04209"/>
    <w:rsid w:val="00F04EFB"/>
    <w:rsid w:val="00F0579F"/>
    <w:rsid w:val="00F071EC"/>
    <w:rsid w:val="00F124B6"/>
    <w:rsid w:val="00F13885"/>
    <w:rsid w:val="00F206EC"/>
    <w:rsid w:val="00F21DB5"/>
    <w:rsid w:val="00F2332C"/>
    <w:rsid w:val="00F47792"/>
    <w:rsid w:val="00F500C2"/>
    <w:rsid w:val="00F56B59"/>
    <w:rsid w:val="00F628B4"/>
    <w:rsid w:val="00F67AF7"/>
    <w:rsid w:val="00F7070A"/>
    <w:rsid w:val="00F7641F"/>
    <w:rsid w:val="00F85F64"/>
    <w:rsid w:val="00F86728"/>
    <w:rsid w:val="00F90A3A"/>
    <w:rsid w:val="00F96AD4"/>
    <w:rsid w:val="00FA246B"/>
    <w:rsid w:val="00FA28AA"/>
    <w:rsid w:val="00FA45AA"/>
    <w:rsid w:val="00FB0B16"/>
    <w:rsid w:val="00FB2E51"/>
    <w:rsid w:val="00FB3F67"/>
    <w:rsid w:val="00FB44B1"/>
    <w:rsid w:val="00FC2E2D"/>
    <w:rsid w:val="00FC3A7C"/>
    <w:rsid w:val="00FC3C0B"/>
    <w:rsid w:val="00FC6BE0"/>
    <w:rsid w:val="00FD0971"/>
    <w:rsid w:val="00FF1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B76AD"/>
  <w15:docId w15:val="{7D506948-DA55-4B9E-A0A7-48082DF1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7A1E"/>
    <w:pPr>
      <w:shd w:val="clear" w:color="auto" w:fill="C6D9F1" w:themeFill="text2" w:themeFillTint="33"/>
      <w:spacing w:after="160"/>
      <w:jc w:val="center"/>
      <w:outlineLvl w:val="0"/>
    </w:pPr>
    <w:rPr>
      <w:b/>
      <w:sz w:val="24"/>
      <w:szCs w:val="28"/>
      <w:lang w:val="es-CR"/>
    </w:rPr>
  </w:style>
  <w:style w:type="paragraph" w:styleId="Ttulo2">
    <w:name w:val="heading 2"/>
    <w:basedOn w:val="Normal"/>
    <w:next w:val="Normal"/>
    <w:link w:val="Ttulo2Car"/>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Ttulo1"/>
    <w:next w:val="Normal"/>
    <w:qFormat/>
    <w:rsid w:val="008F4548"/>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6E6470"/>
    <w:pPr>
      <w:ind w:left="720"/>
      <w:contextualSpacing/>
    </w:pPr>
  </w:style>
  <w:style w:type="paragraph" w:styleId="Encabezado">
    <w:name w:val="header"/>
    <w:basedOn w:val="Normal"/>
    <w:link w:val="EncabezadoCar"/>
    <w:uiPriority w:val="99"/>
    <w:unhideWhenUsed/>
    <w:rsid w:val="00FB44B1"/>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FB44B1"/>
  </w:style>
  <w:style w:type="paragraph" w:styleId="Piedepgina">
    <w:name w:val="footer"/>
    <w:basedOn w:val="Normal"/>
    <w:link w:val="PiedepginaCar"/>
    <w:uiPriority w:val="99"/>
    <w:unhideWhenUsed/>
    <w:rsid w:val="00FB44B1"/>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FB44B1"/>
  </w:style>
  <w:style w:type="paragraph" w:styleId="NormalWeb">
    <w:name w:val="Normal (Web)"/>
    <w:basedOn w:val="Normal"/>
    <w:uiPriority w:val="99"/>
    <w:unhideWhenUsed/>
    <w:rsid w:val="00545AA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conformatoprevio">
    <w:name w:val="HTML Preformatted"/>
    <w:basedOn w:val="Normal"/>
    <w:link w:val="HTMLconformatoprevioCar"/>
    <w:uiPriority w:val="99"/>
    <w:unhideWhenUsed/>
    <w:rsid w:val="00231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23113C"/>
    <w:rPr>
      <w:rFonts w:ascii="Courier New" w:eastAsia="Times New Roman" w:hAnsi="Courier New" w:cs="Courier New"/>
      <w:sz w:val="20"/>
      <w:szCs w:val="20"/>
      <w:lang w:val="en-US"/>
    </w:rPr>
  </w:style>
  <w:style w:type="character" w:customStyle="1" w:styleId="y2iqfc">
    <w:name w:val="y2iqfc"/>
    <w:basedOn w:val="Fuentedeprrafopredeter"/>
    <w:rsid w:val="0023113C"/>
  </w:style>
  <w:style w:type="character" w:styleId="Hipervnculo">
    <w:name w:val="Hyperlink"/>
    <w:basedOn w:val="Fuentedeprrafopredeter"/>
    <w:uiPriority w:val="99"/>
    <w:unhideWhenUsed/>
    <w:rsid w:val="005179EF"/>
    <w:rPr>
      <w:color w:val="0000FF"/>
      <w:u w:val="single"/>
    </w:rPr>
  </w:style>
  <w:style w:type="character" w:customStyle="1" w:styleId="UnresolvedMention1">
    <w:name w:val="Unresolved Mention1"/>
    <w:basedOn w:val="Fuentedeprrafopredeter"/>
    <w:uiPriority w:val="99"/>
    <w:semiHidden/>
    <w:unhideWhenUsed/>
    <w:rsid w:val="00DC1F0D"/>
    <w:rPr>
      <w:color w:val="605E5C"/>
      <w:shd w:val="clear" w:color="auto" w:fill="E1DFDD"/>
    </w:rPr>
  </w:style>
  <w:style w:type="paragraph" w:styleId="Textoindependiente">
    <w:name w:val="Body Text"/>
    <w:basedOn w:val="Normal"/>
    <w:link w:val="TextoindependienteCar"/>
    <w:uiPriority w:val="1"/>
    <w:qFormat/>
    <w:rsid w:val="005860BC"/>
    <w:pPr>
      <w:widowControl w:val="0"/>
      <w:autoSpaceDE w:val="0"/>
      <w:autoSpaceDN w:val="0"/>
      <w:spacing w:line="240" w:lineRule="auto"/>
      <w:ind w:left="100"/>
      <w:jc w:val="both"/>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5860BC"/>
    <w:rPr>
      <w:rFonts w:ascii="Arial MT" w:eastAsia="Arial MT" w:hAnsi="Arial MT" w:cs="Arial MT"/>
      <w:lang w:val="es-ES"/>
    </w:rPr>
  </w:style>
  <w:style w:type="table" w:styleId="Tablaconcuadrcula">
    <w:name w:val="Table Grid"/>
    <w:aliases w:val="Estilo1"/>
    <w:basedOn w:val="Tablanormal"/>
    <w:uiPriority w:val="39"/>
    <w:rsid w:val="005860BC"/>
    <w:pPr>
      <w:spacing w:line="240" w:lineRule="auto"/>
    </w:pPr>
    <w:rPr>
      <w:rFonts w:asciiTheme="minorHAnsi" w:eastAsiaTheme="minorHAns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860BC"/>
  </w:style>
  <w:style w:type="character" w:styleId="Hipervnculovisitado">
    <w:name w:val="FollowedHyperlink"/>
    <w:basedOn w:val="Fuentedeprrafopredeter"/>
    <w:uiPriority w:val="99"/>
    <w:semiHidden/>
    <w:unhideWhenUsed/>
    <w:rsid w:val="00141C24"/>
    <w:rPr>
      <w:color w:val="800080" w:themeColor="followedHyperlink"/>
      <w:u w:val="single"/>
    </w:rPr>
  </w:style>
  <w:style w:type="character" w:customStyle="1" w:styleId="Mencinsinresolver1">
    <w:name w:val="Mención sin resolver1"/>
    <w:basedOn w:val="Fuentedeprrafopredeter"/>
    <w:uiPriority w:val="99"/>
    <w:semiHidden/>
    <w:unhideWhenUsed/>
    <w:rsid w:val="00141C24"/>
    <w:rPr>
      <w:color w:val="605E5C"/>
      <w:shd w:val="clear" w:color="auto" w:fill="E1DFDD"/>
    </w:rPr>
  </w:style>
  <w:style w:type="character" w:styleId="Refdecomentario">
    <w:name w:val="annotation reference"/>
    <w:basedOn w:val="Fuentedeprrafopredeter"/>
    <w:uiPriority w:val="99"/>
    <w:semiHidden/>
    <w:unhideWhenUsed/>
    <w:rsid w:val="00A0671C"/>
    <w:rPr>
      <w:sz w:val="16"/>
      <w:szCs w:val="16"/>
    </w:rPr>
  </w:style>
  <w:style w:type="paragraph" w:styleId="Textocomentario">
    <w:name w:val="annotation text"/>
    <w:basedOn w:val="Normal"/>
    <w:link w:val="TextocomentarioCar"/>
    <w:uiPriority w:val="99"/>
    <w:semiHidden/>
    <w:unhideWhenUsed/>
    <w:rsid w:val="00A067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0671C"/>
    <w:rPr>
      <w:sz w:val="20"/>
      <w:szCs w:val="20"/>
    </w:rPr>
  </w:style>
  <w:style w:type="paragraph" w:styleId="Asuntodelcomentario">
    <w:name w:val="annotation subject"/>
    <w:basedOn w:val="Textocomentario"/>
    <w:next w:val="Textocomentario"/>
    <w:link w:val="AsuntodelcomentarioCar"/>
    <w:uiPriority w:val="99"/>
    <w:semiHidden/>
    <w:unhideWhenUsed/>
    <w:rsid w:val="00A0671C"/>
    <w:rPr>
      <w:b/>
      <w:bCs/>
    </w:rPr>
  </w:style>
  <w:style w:type="character" w:customStyle="1" w:styleId="AsuntodelcomentarioCar">
    <w:name w:val="Asunto del comentario Car"/>
    <w:basedOn w:val="TextocomentarioCar"/>
    <w:link w:val="Asuntodelcomentario"/>
    <w:uiPriority w:val="99"/>
    <w:semiHidden/>
    <w:rsid w:val="00A0671C"/>
    <w:rPr>
      <w:b/>
      <w:bCs/>
      <w:sz w:val="20"/>
      <w:szCs w:val="20"/>
    </w:rPr>
  </w:style>
  <w:style w:type="paragraph" w:styleId="Sinespaciado">
    <w:name w:val="No Spacing"/>
    <w:qFormat/>
    <w:rsid w:val="00F85F64"/>
    <w:pPr>
      <w:spacing w:line="240" w:lineRule="auto"/>
    </w:pPr>
    <w:rPr>
      <w:lang w:val="es" w:eastAsia="es-CR"/>
    </w:rPr>
  </w:style>
  <w:style w:type="character" w:customStyle="1" w:styleId="apple-converted-space">
    <w:name w:val="apple-converted-space"/>
    <w:basedOn w:val="Fuentedeprrafopredeter"/>
    <w:rsid w:val="00F85F64"/>
  </w:style>
  <w:style w:type="character" w:customStyle="1" w:styleId="Hyperlink2">
    <w:name w:val="Hyperlink.2"/>
    <w:basedOn w:val="Fuentedeprrafopredeter"/>
    <w:rsid w:val="00F85F64"/>
    <w:rPr>
      <w:rFonts w:ascii="Arial" w:eastAsia="Arial" w:hAnsi="Arial" w:cs="Arial" w:hint="default"/>
      <w:lang w:val="es-ES_tradnl"/>
    </w:rPr>
  </w:style>
  <w:style w:type="table" w:styleId="Tablaconcuadrcula1clara">
    <w:name w:val="Grid Table 1 Light"/>
    <w:basedOn w:val="Tablanormal"/>
    <w:uiPriority w:val="46"/>
    <w:rsid w:val="00794DEB"/>
    <w:pPr>
      <w:spacing w:line="240" w:lineRule="auto"/>
    </w:pPr>
    <w:rPr>
      <w:rFonts w:asciiTheme="minorHAnsi" w:eastAsiaTheme="minorHAnsi" w:hAnsiTheme="minorHAnsi" w:cstheme="minorBidi"/>
      <w:lang w:val="es-C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15739"/>
    <w:pPr>
      <w:widowControl w:val="0"/>
      <w:suppressAutoHyphens/>
      <w:autoSpaceDN w:val="0"/>
      <w:spacing w:after="200" w:line="240" w:lineRule="auto"/>
      <w:textAlignment w:val="baseline"/>
    </w:pPr>
    <w:rPr>
      <w:rFonts w:ascii="Liberation Serif" w:eastAsia="Segoe UI" w:hAnsi="Liberation Serif" w:cs="Mangal"/>
      <w:i/>
      <w:iCs/>
      <w:color w:val="1F497D" w:themeColor="text2"/>
      <w:kern w:val="3"/>
      <w:sz w:val="18"/>
      <w:szCs w:val="16"/>
      <w:lang w:val="es-CR" w:eastAsia="zh-CN" w:bidi="hi-IN"/>
    </w:rPr>
  </w:style>
  <w:style w:type="character" w:customStyle="1" w:styleId="Mencinsinresolver2">
    <w:name w:val="Mención sin resolver2"/>
    <w:basedOn w:val="Fuentedeprrafopredeter"/>
    <w:uiPriority w:val="99"/>
    <w:semiHidden/>
    <w:unhideWhenUsed/>
    <w:rsid w:val="00E05531"/>
    <w:rPr>
      <w:color w:val="605E5C"/>
      <w:shd w:val="clear" w:color="auto" w:fill="E1DFDD"/>
    </w:rPr>
  </w:style>
  <w:style w:type="character" w:customStyle="1" w:styleId="Ttulo1Car">
    <w:name w:val="Título 1 Car"/>
    <w:basedOn w:val="Fuentedeprrafopredeter"/>
    <w:link w:val="Ttulo1"/>
    <w:uiPriority w:val="9"/>
    <w:rsid w:val="00467A1E"/>
    <w:rPr>
      <w:b/>
      <w:sz w:val="24"/>
      <w:szCs w:val="28"/>
      <w:shd w:val="clear" w:color="auto" w:fill="C6D9F1" w:themeFill="text2" w:themeFillTint="33"/>
      <w:lang w:val="es-CR"/>
    </w:rPr>
  </w:style>
  <w:style w:type="paragraph" w:customStyle="1" w:styleId="Default">
    <w:name w:val="Default"/>
    <w:rsid w:val="002477D5"/>
    <w:pPr>
      <w:autoSpaceDE w:val="0"/>
      <w:autoSpaceDN w:val="0"/>
      <w:adjustRightInd w:val="0"/>
      <w:spacing w:line="240" w:lineRule="auto"/>
    </w:pPr>
    <w:rPr>
      <w:rFonts w:ascii="Helvetica Neue" w:eastAsiaTheme="minorHAnsi" w:hAnsi="Helvetica Neue" w:cs="Helvetica Neue"/>
      <w:color w:val="000000"/>
      <w:sz w:val="24"/>
      <w:szCs w:val="24"/>
      <w:lang w:val="en-US"/>
    </w:rPr>
  </w:style>
  <w:style w:type="character" w:styleId="Textodelmarcadordeposicin">
    <w:name w:val="Placeholder Text"/>
    <w:basedOn w:val="Fuentedeprrafopredeter"/>
    <w:uiPriority w:val="99"/>
    <w:semiHidden/>
    <w:rsid w:val="002477D5"/>
    <w:rPr>
      <w:color w:val="808080"/>
    </w:rPr>
  </w:style>
  <w:style w:type="character" w:customStyle="1" w:styleId="apple-tab-span">
    <w:name w:val="apple-tab-span"/>
    <w:basedOn w:val="Fuentedeprrafopredeter"/>
    <w:rsid w:val="002477D5"/>
  </w:style>
  <w:style w:type="paragraph" w:customStyle="1" w:styleId="Standard">
    <w:name w:val="Standard"/>
    <w:qFormat/>
    <w:rsid w:val="00200857"/>
    <w:pPr>
      <w:suppressAutoHyphens/>
      <w:autoSpaceDN w:val="0"/>
      <w:textAlignment w:val="baseline"/>
    </w:pPr>
    <w:rPr>
      <w:lang w:val="en-US" w:eastAsia="es-ES"/>
    </w:rPr>
  </w:style>
  <w:style w:type="numbering" w:customStyle="1" w:styleId="WWNum2">
    <w:name w:val="WWNum2"/>
    <w:basedOn w:val="Sinlista"/>
    <w:rsid w:val="00200857"/>
    <w:pPr>
      <w:numPr>
        <w:numId w:val="2"/>
      </w:numPr>
    </w:pPr>
  </w:style>
  <w:style w:type="numbering" w:customStyle="1" w:styleId="WWNum3">
    <w:name w:val="WWNum3"/>
    <w:basedOn w:val="Sinlista"/>
    <w:rsid w:val="00200857"/>
    <w:pPr>
      <w:numPr>
        <w:numId w:val="3"/>
      </w:numPr>
    </w:pPr>
  </w:style>
  <w:style w:type="numbering" w:customStyle="1" w:styleId="WWNum1">
    <w:name w:val="WWNum1"/>
    <w:basedOn w:val="Sinlista"/>
    <w:rsid w:val="00B42108"/>
    <w:pPr>
      <w:numPr>
        <w:numId w:val="4"/>
      </w:numPr>
    </w:pPr>
  </w:style>
  <w:style w:type="paragraph" w:customStyle="1" w:styleId="TableParagraph">
    <w:name w:val="Table Paragraph"/>
    <w:basedOn w:val="Normal"/>
    <w:uiPriority w:val="1"/>
    <w:qFormat/>
    <w:rsid w:val="001D7EE2"/>
    <w:pPr>
      <w:widowControl w:val="0"/>
      <w:autoSpaceDE w:val="0"/>
      <w:autoSpaceDN w:val="0"/>
      <w:spacing w:before="13" w:line="247" w:lineRule="exact"/>
      <w:ind w:left="110" w:right="52"/>
      <w:jc w:val="center"/>
    </w:pPr>
    <w:rPr>
      <w:rFonts w:ascii="Arial MT" w:eastAsia="Arial MT" w:hAnsi="Arial MT" w:cs="Arial MT"/>
      <w:lang w:val="es-ES"/>
    </w:rPr>
  </w:style>
  <w:style w:type="paragraph" w:styleId="Bibliografa">
    <w:name w:val="Bibliography"/>
    <w:basedOn w:val="Normal"/>
    <w:next w:val="Normal"/>
    <w:uiPriority w:val="37"/>
    <w:unhideWhenUsed/>
    <w:rsid w:val="008A4301"/>
  </w:style>
  <w:style w:type="paragraph" w:customStyle="1" w:styleId="BodyA">
    <w:name w:val="Body A"/>
    <w:rsid w:val="00870E10"/>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es-ES_tradnl"/>
      <w14:textOutline w14:w="12700" w14:cap="flat" w14:cmpd="sng" w14:algn="ctr">
        <w14:noFill/>
        <w14:prstDash w14:val="solid"/>
        <w14:miter w14:lim="400000"/>
      </w14:textOutline>
    </w:rPr>
  </w:style>
  <w:style w:type="paragraph" w:customStyle="1" w:styleId="Body">
    <w:name w:val="Body"/>
    <w:rsid w:val="00870E10"/>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es-ES_tradnl"/>
      <w14:textOutline w14:w="0" w14:cap="flat" w14:cmpd="sng" w14:algn="ctr">
        <w14:noFill/>
        <w14:prstDash w14:val="solid"/>
        <w14:bevel/>
      </w14:textOutline>
    </w:rPr>
  </w:style>
  <w:style w:type="numbering" w:customStyle="1" w:styleId="ImportedStyle2">
    <w:name w:val="Imported Style 2"/>
    <w:rsid w:val="00870E10"/>
    <w:pPr>
      <w:numPr>
        <w:numId w:val="5"/>
      </w:numPr>
    </w:pPr>
  </w:style>
  <w:style w:type="numbering" w:customStyle="1" w:styleId="ImportedStyle3">
    <w:name w:val="Imported Style 3"/>
    <w:rsid w:val="00870E10"/>
    <w:pPr>
      <w:numPr>
        <w:numId w:val="6"/>
      </w:numPr>
    </w:pPr>
  </w:style>
  <w:style w:type="table" w:styleId="Tabladelista3">
    <w:name w:val="List Table 3"/>
    <w:basedOn w:val="Tablanormal"/>
    <w:uiPriority w:val="48"/>
    <w:rsid w:val="00E13AF9"/>
    <w:pPr>
      <w:spacing w:line="240" w:lineRule="auto"/>
    </w:pPr>
    <w:rPr>
      <w:lang w:val="es-CR" w:eastAsia="es-MX"/>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1">
    <w:name w:val="Tabla de lista 31"/>
    <w:basedOn w:val="Tablanormal"/>
    <w:next w:val="Tabladelista3"/>
    <w:uiPriority w:val="48"/>
    <w:rsid w:val="004A3A02"/>
    <w:pPr>
      <w:spacing w:line="240" w:lineRule="auto"/>
    </w:pPr>
    <w:rPr>
      <w:lang w:val="es-CR" w:eastAsia="es-MX"/>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anchor-text">
    <w:name w:val="anchor-text"/>
    <w:basedOn w:val="Fuentedeprrafopredeter"/>
    <w:rsid w:val="007E0AD1"/>
  </w:style>
  <w:style w:type="character" w:customStyle="1" w:styleId="pagesubhead">
    <w:name w:val="pagesubhead"/>
    <w:rsid w:val="00D128AE"/>
  </w:style>
  <w:style w:type="table" w:styleId="Sombreadoclaro">
    <w:name w:val="Light Shading"/>
    <w:basedOn w:val="Tablanormal"/>
    <w:uiPriority w:val="60"/>
    <w:rsid w:val="00D128AE"/>
    <w:pPr>
      <w:spacing w:line="240" w:lineRule="auto"/>
    </w:pPr>
    <w:rPr>
      <w:rFonts w:ascii="Calibri" w:eastAsia="Calibri" w:hAnsi="Calibri" w:cs="Times New Roman"/>
      <w:color w:val="000000"/>
      <w:sz w:val="20"/>
      <w:szCs w:val="20"/>
      <w:lang w:val="es-CR" w:eastAsia="es-CR"/>
    </w:rPr>
    <w:tblPr>
      <w:tblStyleRowBandSize w:val="1"/>
      <w:tblStyleColBandSize w:val="1"/>
      <w:tblBorders>
        <w:top w:val="single" w:sz="8" w:space="0" w:color="000000"/>
        <w:bottom w:val="single" w:sz="8" w:space="0" w:color="000000"/>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tulo21">
    <w:name w:val="Título 21"/>
    <w:basedOn w:val="Normal"/>
    <w:rsid w:val="00D128AE"/>
    <w:pPr>
      <w:spacing w:line="240" w:lineRule="auto"/>
      <w:outlineLvl w:val="2"/>
    </w:pPr>
    <w:rPr>
      <w:rFonts w:ascii="Times New Roman" w:eastAsia="Times New Roman" w:hAnsi="Times New Roman" w:cs="Times New Roman"/>
      <w:color w:val="000080"/>
      <w:sz w:val="34"/>
      <w:szCs w:val="34"/>
      <w:lang w:val="es-ES" w:eastAsia="es-ES"/>
    </w:rPr>
  </w:style>
  <w:style w:type="paragraph" w:styleId="Textonotaalfinal">
    <w:name w:val="endnote text"/>
    <w:basedOn w:val="Normal"/>
    <w:link w:val="TextonotaalfinalCar"/>
    <w:uiPriority w:val="99"/>
    <w:unhideWhenUsed/>
    <w:rsid w:val="00D128AE"/>
    <w:pPr>
      <w:spacing w:line="240" w:lineRule="auto"/>
    </w:pPr>
    <w:rPr>
      <w:rFonts w:ascii="Calibri" w:eastAsia="Calibri" w:hAnsi="Calibri" w:cs="Times New Roman"/>
      <w:sz w:val="20"/>
      <w:szCs w:val="20"/>
      <w:lang w:val="x-none"/>
    </w:rPr>
  </w:style>
  <w:style w:type="character" w:customStyle="1" w:styleId="TextonotaalfinalCar">
    <w:name w:val="Texto nota al final Car"/>
    <w:basedOn w:val="Fuentedeprrafopredeter"/>
    <w:link w:val="Textonotaalfinal"/>
    <w:uiPriority w:val="99"/>
    <w:rsid w:val="00D128AE"/>
    <w:rPr>
      <w:rFonts w:ascii="Calibri" w:eastAsia="Calibri" w:hAnsi="Calibri" w:cs="Times New Roman"/>
      <w:sz w:val="20"/>
      <w:szCs w:val="20"/>
      <w:lang w:val="x-none"/>
    </w:rPr>
  </w:style>
  <w:style w:type="character" w:styleId="Textoennegrita">
    <w:name w:val="Strong"/>
    <w:uiPriority w:val="22"/>
    <w:qFormat/>
    <w:rsid w:val="00D128AE"/>
    <w:rPr>
      <w:b/>
      <w:bCs/>
    </w:rPr>
  </w:style>
  <w:style w:type="table" w:styleId="Sombreadoclaro-nfasis1">
    <w:name w:val="Light Shading Accent 1"/>
    <w:basedOn w:val="Tablanormal"/>
    <w:uiPriority w:val="60"/>
    <w:rsid w:val="00D128AE"/>
    <w:pPr>
      <w:spacing w:line="240" w:lineRule="auto"/>
    </w:pPr>
    <w:rPr>
      <w:rFonts w:ascii="Calibri" w:eastAsia="Calibri" w:hAnsi="Calibri" w:cs="Times New Roman"/>
      <w:color w:val="365F91"/>
      <w:lang w:val="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tulo2Car">
    <w:name w:val="Título 2 Car"/>
    <w:link w:val="Ttulo2"/>
    <w:rsid w:val="00D128AE"/>
    <w:rPr>
      <w:sz w:val="32"/>
      <w:szCs w:val="32"/>
    </w:rPr>
  </w:style>
  <w:style w:type="table" w:styleId="Listaoscura-nfasis6">
    <w:name w:val="Dark List Accent 6"/>
    <w:basedOn w:val="Tablanormal"/>
    <w:uiPriority w:val="70"/>
    <w:rsid w:val="00D128AE"/>
    <w:pPr>
      <w:spacing w:line="240" w:lineRule="auto"/>
    </w:pPr>
    <w:rPr>
      <w:rFonts w:ascii="Calibri" w:eastAsia="Calibri" w:hAnsi="Calibri" w:cs="Times New Roman"/>
      <w:color w:val="FFFFFF"/>
      <w:sz w:val="20"/>
      <w:szCs w:val="20"/>
      <w:lang w:val="es-CR" w:eastAsia="es-C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TDC2">
    <w:name w:val="toc 2"/>
    <w:basedOn w:val="Normal"/>
    <w:next w:val="Normal"/>
    <w:autoRedefine/>
    <w:uiPriority w:val="39"/>
    <w:unhideWhenUsed/>
    <w:rsid w:val="00D128AE"/>
    <w:pPr>
      <w:spacing w:after="160" w:line="259" w:lineRule="auto"/>
      <w:ind w:left="220"/>
    </w:pPr>
    <w:rPr>
      <w:rFonts w:ascii="Calibri" w:eastAsia="Calibri" w:hAnsi="Calibri" w:cs="Times New Roman"/>
      <w:lang w:val="es-ES"/>
    </w:rPr>
  </w:style>
  <w:style w:type="paragraph" w:styleId="TDC3">
    <w:name w:val="toc 3"/>
    <w:basedOn w:val="Normal"/>
    <w:next w:val="Normal"/>
    <w:autoRedefine/>
    <w:uiPriority w:val="39"/>
    <w:unhideWhenUsed/>
    <w:rsid w:val="00D128AE"/>
    <w:pPr>
      <w:spacing w:after="160" w:line="259" w:lineRule="auto"/>
      <w:ind w:left="440"/>
    </w:pPr>
    <w:rPr>
      <w:rFonts w:ascii="Calibri" w:eastAsia="Calibri" w:hAnsi="Calibri" w:cs="Times New Roman"/>
      <w:lang w:val="es-ES"/>
    </w:rPr>
  </w:style>
  <w:style w:type="paragraph" w:styleId="TDC1">
    <w:name w:val="toc 1"/>
    <w:basedOn w:val="Normal"/>
    <w:next w:val="Normal"/>
    <w:autoRedefine/>
    <w:uiPriority w:val="39"/>
    <w:unhideWhenUsed/>
    <w:rsid w:val="00D128AE"/>
    <w:pPr>
      <w:spacing w:after="160" w:line="259" w:lineRule="auto"/>
    </w:pPr>
    <w:rPr>
      <w:rFonts w:ascii="Calibri" w:eastAsia="Calibri" w:hAnsi="Calibri" w:cs="Times New Roman"/>
      <w:lang w:val="es-ES"/>
    </w:rPr>
  </w:style>
  <w:style w:type="character" w:customStyle="1" w:styleId="Mencinsinresolver3">
    <w:name w:val="Mención sin resolver3"/>
    <w:uiPriority w:val="99"/>
    <w:semiHidden/>
    <w:unhideWhenUsed/>
    <w:rsid w:val="00D128AE"/>
    <w:rPr>
      <w:color w:val="605E5C"/>
      <w:shd w:val="clear" w:color="auto" w:fill="E1DFDD"/>
    </w:rPr>
  </w:style>
  <w:style w:type="character" w:customStyle="1" w:styleId="markedcontent">
    <w:name w:val="markedcontent"/>
    <w:basedOn w:val="Fuentedeprrafopredeter"/>
    <w:rsid w:val="00A5501E"/>
  </w:style>
  <w:style w:type="character" w:customStyle="1" w:styleId="Ninguno">
    <w:name w:val="Ninguno"/>
    <w:rsid w:val="008F4548"/>
  </w:style>
  <w:style w:type="paragraph" w:customStyle="1" w:styleId="CuerpoA">
    <w:name w:val="Cuerpo A"/>
    <w:rsid w:val="008F4548"/>
    <w:pPr>
      <w:pBdr>
        <w:top w:val="nil"/>
        <w:left w:val="nil"/>
        <w:bottom w:val="nil"/>
        <w:right w:val="nil"/>
        <w:between w:val="nil"/>
        <w:bar w:val="nil"/>
      </w:pBdr>
      <w:spacing w:line="288" w:lineRule="auto"/>
      <w:jc w:val="both"/>
    </w:pPr>
    <w:rPr>
      <w:rFonts w:ascii="Helvetica Neue" w:eastAsia="Arial Unicode MS" w:hAnsi="Helvetica Neue" w:cs="Arial Unicode MS"/>
      <w:color w:val="000000"/>
      <w:u w:color="000000"/>
      <w:bdr w:val="nil"/>
      <w:lang w:val="es-ES_tradnl" w:eastAsia="es-CR"/>
    </w:rPr>
  </w:style>
  <w:style w:type="paragraph" w:customStyle="1" w:styleId="Cuerpo">
    <w:name w:val="Cuerpo"/>
    <w:rsid w:val="008F4548"/>
    <w:pPr>
      <w:pBdr>
        <w:top w:val="nil"/>
        <w:left w:val="nil"/>
        <w:bottom w:val="nil"/>
        <w:right w:val="nil"/>
        <w:between w:val="nil"/>
        <w:bar w:val="nil"/>
      </w:pBdr>
      <w:spacing w:line="240" w:lineRule="auto"/>
    </w:pPr>
    <w:rPr>
      <w:rFonts w:ascii="Times New Roman" w:eastAsia="Times New Roman" w:hAnsi="Times New Roman" w:cs="Times New Roman"/>
      <w:color w:val="000000"/>
      <w:sz w:val="24"/>
      <w:szCs w:val="24"/>
      <w:u w:color="000000"/>
      <w:bdr w:val="nil"/>
      <w:lang w:val="es-CR" w:eastAsia="es-CR"/>
    </w:rPr>
  </w:style>
  <w:style w:type="numbering" w:customStyle="1" w:styleId="Nmero">
    <w:name w:val="Número"/>
    <w:rsid w:val="008F4548"/>
    <w:pPr>
      <w:numPr>
        <w:numId w:val="17"/>
      </w:numPr>
    </w:pPr>
  </w:style>
  <w:style w:type="character" w:customStyle="1" w:styleId="Hyperlink3">
    <w:name w:val="Hyperlink.3"/>
    <w:basedOn w:val="Ninguno"/>
    <w:rsid w:val="008F4548"/>
    <w:rPr>
      <w:color w:val="1A57AA"/>
    </w:rPr>
  </w:style>
  <w:style w:type="character" w:styleId="Mencinsinresolver">
    <w:name w:val="Unresolved Mention"/>
    <w:basedOn w:val="Fuentedeprrafopredeter"/>
    <w:uiPriority w:val="99"/>
    <w:semiHidden/>
    <w:unhideWhenUsed/>
    <w:rsid w:val="001B7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6133">
      <w:bodyDiv w:val="1"/>
      <w:marLeft w:val="0"/>
      <w:marRight w:val="0"/>
      <w:marTop w:val="0"/>
      <w:marBottom w:val="0"/>
      <w:divBdr>
        <w:top w:val="none" w:sz="0" w:space="0" w:color="auto"/>
        <w:left w:val="none" w:sz="0" w:space="0" w:color="auto"/>
        <w:bottom w:val="none" w:sz="0" w:space="0" w:color="auto"/>
        <w:right w:val="none" w:sz="0" w:space="0" w:color="auto"/>
      </w:divBdr>
    </w:div>
    <w:div w:id="51929296">
      <w:bodyDiv w:val="1"/>
      <w:marLeft w:val="0"/>
      <w:marRight w:val="0"/>
      <w:marTop w:val="0"/>
      <w:marBottom w:val="0"/>
      <w:divBdr>
        <w:top w:val="none" w:sz="0" w:space="0" w:color="auto"/>
        <w:left w:val="none" w:sz="0" w:space="0" w:color="auto"/>
        <w:bottom w:val="none" w:sz="0" w:space="0" w:color="auto"/>
        <w:right w:val="none" w:sz="0" w:space="0" w:color="auto"/>
      </w:divBdr>
    </w:div>
    <w:div w:id="332876721">
      <w:bodyDiv w:val="1"/>
      <w:marLeft w:val="0"/>
      <w:marRight w:val="0"/>
      <w:marTop w:val="0"/>
      <w:marBottom w:val="0"/>
      <w:divBdr>
        <w:top w:val="none" w:sz="0" w:space="0" w:color="auto"/>
        <w:left w:val="none" w:sz="0" w:space="0" w:color="auto"/>
        <w:bottom w:val="none" w:sz="0" w:space="0" w:color="auto"/>
        <w:right w:val="none" w:sz="0" w:space="0" w:color="auto"/>
      </w:divBdr>
    </w:div>
    <w:div w:id="451755666">
      <w:bodyDiv w:val="1"/>
      <w:marLeft w:val="0"/>
      <w:marRight w:val="0"/>
      <w:marTop w:val="0"/>
      <w:marBottom w:val="0"/>
      <w:divBdr>
        <w:top w:val="none" w:sz="0" w:space="0" w:color="auto"/>
        <w:left w:val="none" w:sz="0" w:space="0" w:color="auto"/>
        <w:bottom w:val="none" w:sz="0" w:space="0" w:color="auto"/>
        <w:right w:val="none" w:sz="0" w:space="0" w:color="auto"/>
      </w:divBdr>
    </w:div>
    <w:div w:id="550775337">
      <w:bodyDiv w:val="1"/>
      <w:marLeft w:val="0"/>
      <w:marRight w:val="0"/>
      <w:marTop w:val="0"/>
      <w:marBottom w:val="0"/>
      <w:divBdr>
        <w:top w:val="none" w:sz="0" w:space="0" w:color="auto"/>
        <w:left w:val="none" w:sz="0" w:space="0" w:color="auto"/>
        <w:bottom w:val="none" w:sz="0" w:space="0" w:color="auto"/>
        <w:right w:val="none" w:sz="0" w:space="0" w:color="auto"/>
      </w:divBdr>
    </w:div>
    <w:div w:id="606621355">
      <w:bodyDiv w:val="1"/>
      <w:marLeft w:val="0"/>
      <w:marRight w:val="0"/>
      <w:marTop w:val="0"/>
      <w:marBottom w:val="0"/>
      <w:divBdr>
        <w:top w:val="none" w:sz="0" w:space="0" w:color="auto"/>
        <w:left w:val="none" w:sz="0" w:space="0" w:color="auto"/>
        <w:bottom w:val="none" w:sz="0" w:space="0" w:color="auto"/>
        <w:right w:val="none" w:sz="0" w:space="0" w:color="auto"/>
      </w:divBdr>
      <w:divsChild>
        <w:div w:id="1308246068">
          <w:marLeft w:val="0"/>
          <w:marRight w:val="0"/>
          <w:marTop w:val="0"/>
          <w:marBottom w:val="0"/>
          <w:divBdr>
            <w:top w:val="none" w:sz="0" w:space="0" w:color="auto"/>
            <w:left w:val="none" w:sz="0" w:space="0" w:color="auto"/>
            <w:bottom w:val="none" w:sz="0" w:space="0" w:color="auto"/>
            <w:right w:val="none" w:sz="0" w:space="0" w:color="auto"/>
          </w:divBdr>
        </w:div>
      </w:divsChild>
    </w:div>
    <w:div w:id="764618793">
      <w:bodyDiv w:val="1"/>
      <w:marLeft w:val="0"/>
      <w:marRight w:val="0"/>
      <w:marTop w:val="0"/>
      <w:marBottom w:val="0"/>
      <w:divBdr>
        <w:top w:val="none" w:sz="0" w:space="0" w:color="auto"/>
        <w:left w:val="none" w:sz="0" w:space="0" w:color="auto"/>
        <w:bottom w:val="none" w:sz="0" w:space="0" w:color="auto"/>
        <w:right w:val="none" w:sz="0" w:space="0" w:color="auto"/>
      </w:divBdr>
    </w:div>
    <w:div w:id="1029140865">
      <w:bodyDiv w:val="1"/>
      <w:marLeft w:val="0"/>
      <w:marRight w:val="0"/>
      <w:marTop w:val="0"/>
      <w:marBottom w:val="0"/>
      <w:divBdr>
        <w:top w:val="none" w:sz="0" w:space="0" w:color="auto"/>
        <w:left w:val="none" w:sz="0" w:space="0" w:color="auto"/>
        <w:bottom w:val="none" w:sz="0" w:space="0" w:color="auto"/>
        <w:right w:val="none" w:sz="0" w:space="0" w:color="auto"/>
      </w:divBdr>
      <w:divsChild>
        <w:div w:id="286208539">
          <w:marLeft w:val="0"/>
          <w:marRight w:val="0"/>
          <w:marTop w:val="0"/>
          <w:marBottom w:val="0"/>
          <w:divBdr>
            <w:top w:val="none" w:sz="0" w:space="0" w:color="auto"/>
            <w:left w:val="none" w:sz="0" w:space="0" w:color="auto"/>
            <w:bottom w:val="none" w:sz="0" w:space="0" w:color="auto"/>
            <w:right w:val="none" w:sz="0" w:space="0" w:color="auto"/>
          </w:divBdr>
        </w:div>
      </w:divsChild>
    </w:div>
    <w:div w:id="1176069937">
      <w:bodyDiv w:val="1"/>
      <w:marLeft w:val="0"/>
      <w:marRight w:val="0"/>
      <w:marTop w:val="0"/>
      <w:marBottom w:val="0"/>
      <w:divBdr>
        <w:top w:val="none" w:sz="0" w:space="0" w:color="auto"/>
        <w:left w:val="none" w:sz="0" w:space="0" w:color="auto"/>
        <w:bottom w:val="none" w:sz="0" w:space="0" w:color="auto"/>
        <w:right w:val="none" w:sz="0" w:space="0" w:color="auto"/>
      </w:divBdr>
      <w:divsChild>
        <w:div w:id="1213888595">
          <w:marLeft w:val="0"/>
          <w:marRight w:val="0"/>
          <w:marTop w:val="0"/>
          <w:marBottom w:val="0"/>
          <w:divBdr>
            <w:top w:val="none" w:sz="0" w:space="0" w:color="auto"/>
            <w:left w:val="none" w:sz="0" w:space="0" w:color="auto"/>
            <w:bottom w:val="none" w:sz="0" w:space="0" w:color="auto"/>
            <w:right w:val="none" w:sz="0" w:space="0" w:color="auto"/>
          </w:divBdr>
        </w:div>
      </w:divsChild>
    </w:div>
    <w:div w:id="1222597170">
      <w:bodyDiv w:val="1"/>
      <w:marLeft w:val="0"/>
      <w:marRight w:val="0"/>
      <w:marTop w:val="0"/>
      <w:marBottom w:val="0"/>
      <w:divBdr>
        <w:top w:val="none" w:sz="0" w:space="0" w:color="auto"/>
        <w:left w:val="none" w:sz="0" w:space="0" w:color="auto"/>
        <w:bottom w:val="none" w:sz="0" w:space="0" w:color="auto"/>
        <w:right w:val="none" w:sz="0" w:space="0" w:color="auto"/>
      </w:divBdr>
    </w:div>
    <w:div w:id="1312833801">
      <w:bodyDiv w:val="1"/>
      <w:marLeft w:val="0"/>
      <w:marRight w:val="0"/>
      <w:marTop w:val="0"/>
      <w:marBottom w:val="0"/>
      <w:divBdr>
        <w:top w:val="none" w:sz="0" w:space="0" w:color="auto"/>
        <w:left w:val="none" w:sz="0" w:space="0" w:color="auto"/>
        <w:bottom w:val="none" w:sz="0" w:space="0" w:color="auto"/>
        <w:right w:val="none" w:sz="0" w:space="0" w:color="auto"/>
      </w:divBdr>
    </w:div>
    <w:div w:id="1313870154">
      <w:bodyDiv w:val="1"/>
      <w:marLeft w:val="0"/>
      <w:marRight w:val="0"/>
      <w:marTop w:val="0"/>
      <w:marBottom w:val="0"/>
      <w:divBdr>
        <w:top w:val="none" w:sz="0" w:space="0" w:color="auto"/>
        <w:left w:val="none" w:sz="0" w:space="0" w:color="auto"/>
        <w:bottom w:val="none" w:sz="0" w:space="0" w:color="auto"/>
        <w:right w:val="none" w:sz="0" w:space="0" w:color="auto"/>
      </w:divBdr>
    </w:div>
    <w:div w:id="1402291775">
      <w:bodyDiv w:val="1"/>
      <w:marLeft w:val="0"/>
      <w:marRight w:val="0"/>
      <w:marTop w:val="0"/>
      <w:marBottom w:val="0"/>
      <w:divBdr>
        <w:top w:val="none" w:sz="0" w:space="0" w:color="auto"/>
        <w:left w:val="none" w:sz="0" w:space="0" w:color="auto"/>
        <w:bottom w:val="none" w:sz="0" w:space="0" w:color="auto"/>
        <w:right w:val="none" w:sz="0" w:space="0" w:color="auto"/>
      </w:divBdr>
    </w:div>
    <w:div w:id="1634824134">
      <w:bodyDiv w:val="1"/>
      <w:marLeft w:val="0"/>
      <w:marRight w:val="0"/>
      <w:marTop w:val="0"/>
      <w:marBottom w:val="0"/>
      <w:divBdr>
        <w:top w:val="none" w:sz="0" w:space="0" w:color="auto"/>
        <w:left w:val="none" w:sz="0" w:space="0" w:color="auto"/>
        <w:bottom w:val="none" w:sz="0" w:space="0" w:color="auto"/>
        <w:right w:val="none" w:sz="0" w:space="0" w:color="auto"/>
      </w:divBdr>
    </w:div>
    <w:div w:id="1646540740">
      <w:bodyDiv w:val="1"/>
      <w:marLeft w:val="0"/>
      <w:marRight w:val="0"/>
      <w:marTop w:val="0"/>
      <w:marBottom w:val="0"/>
      <w:divBdr>
        <w:top w:val="none" w:sz="0" w:space="0" w:color="auto"/>
        <w:left w:val="none" w:sz="0" w:space="0" w:color="auto"/>
        <w:bottom w:val="none" w:sz="0" w:space="0" w:color="auto"/>
        <w:right w:val="none" w:sz="0" w:space="0" w:color="auto"/>
      </w:divBdr>
    </w:div>
    <w:div w:id="1779527344">
      <w:bodyDiv w:val="1"/>
      <w:marLeft w:val="0"/>
      <w:marRight w:val="0"/>
      <w:marTop w:val="0"/>
      <w:marBottom w:val="0"/>
      <w:divBdr>
        <w:top w:val="none" w:sz="0" w:space="0" w:color="auto"/>
        <w:left w:val="none" w:sz="0" w:space="0" w:color="auto"/>
        <w:bottom w:val="none" w:sz="0" w:space="0" w:color="auto"/>
        <w:right w:val="none" w:sz="0" w:space="0" w:color="auto"/>
      </w:divBdr>
    </w:div>
    <w:div w:id="2024818272">
      <w:bodyDiv w:val="1"/>
      <w:marLeft w:val="0"/>
      <w:marRight w:val="0"/>
      <w:marTop w:val="0"/>
      <w:marBottom w:val="0"/>
      <w:divBdr>
        <w:top w:val="none" w:sz="0" w:space="0" w:color="auto"/>
        <w:left w:val="none" w:sz="0" w:space="0" w:color="auto"/>
        <w:bottom w:val="none" w:sz="0" w:space="0" w:color="auto"/>
        <w:right w:val="none" w:sz="0" w:space="0" w:color="auto"/>
      </w:divBdr>
    </w:div>
    <w:div w:id="2070956711">
      <w:bodyDiv w:val="1"/>
      <w:marLeft w:val="0"/>
      <w:marRight w:val="0"/>
      <w:marTop w:val="0"/>
      <w:marBottom w:val="0"/>
      <w:divBdr>
        <w:top w:val="none" w:sz="0" w:space="0" w:color="auto"/>
        <w:left w:val="none" w:sz="0" w:space="0" w:color="auto"/>
        <w:bottom w:val="none" w:sz="0" w:space="0" w:color="auto"/>
        <w:right w:val="none" w:sz="0" w:space="0" w:color="auto"/>
      </w:divBdr>
    </w:div>
    <w:div w:id="2096783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revistamedicasinergia@gmail.com" TargetMode="External"/><Relationship Id="rId17" Type="http://schemas.openxmlformats.org/officeDocument/2006/relationships/hyperlink" Target="https://medicoscr.hulilabs.com/es/search/doctor/francisco-jose-vargas-navarro?ref=sb" TargetMode="Externa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s://medicoscr.hulilabs.com/es/search/doctor/jose-gerardo-lopez-saenz?ref=sb"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s://orcid.org/0000-0003-1453-9958"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doi.org/10.31434/rms.v9i1.112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orcid.org/0000-0002-9969-2291" TargetMode="External"/><Relationship Id="rId22" Type="http://schemas.openxmlformats.org/officeDocument/2006/relationships/image" Target="media/image8.png"/><Relationship Id="rId27" Type="http://schemas.openxmlformats.org/officeDocument/2006/relationships/image" Target="media/image13.em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revistamedicasinergia.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revistamedicasinergia.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6930B-7F1B-493C-817B-E084EE54B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2050</TotalTime>
  <Pages>8</Pages>
  <Words>2707</Words>
  <Characters>14894</Characters>
  <Application>Microsoft Office Word</Application>
  <DocSecurity>0</DocSecurity>
  <Lines>124</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Jimenez</dc:creator>
  <cp:keywords/>
  <dc:description/>
  <cp:lastModifiedBy>Esteban Sánchez Gaitán</cp:lastModifiedBy>
  <cp:revision>88</cp:revision>
  <cp:lastPrinted>2022-03-10T18:06:00Z</cp:lastPrinted>
  <dcterms:created xsi:type="dcterms:W3CDTF">2022-04-25T01:39:00Z</dcterms:created>
  <dcterms:modified xsi:type="dcterms:W3CDTF">2024-01-04T02:44:00Z</dcterms:modified>
</cp:coreProperties>
</file>