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706"/>
        <w:gridCol w:w="1169"/>
        <w:gridCol w:w="1155"/>
        <w:gridCol w:w="1192"/>
        <w:gridCol w:w="606"/>
        <w:gridCol w:w="2848"/>
      </w:tblGrid>
      <w:tr w:rsidR="005860BC" w:rsidRPr="005C4E32"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6EB283C2" w:rsidR="005860BC" w:rsidRDefault="005860BC" w:rsidP="00D83F9E">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D534AF">
              <w:rPr>
                <w:rFonts w:ascii="Arial" w:eastAsia="Arial" w:hAnsi="Arial" w:cs="Arial"/>
                <w:color w:val="000000"/>
                <w:sz w:val="17"/>
                <w:szCs w:val="17"/>
              </w:rPr>
              <w:t>6</w:t>
            </w:r>
            <w:r w:rsidRPr="004E5DEB">
              <w:rPr>
                <w:rFonts w:ascii="Arial" w:eastAsia="Arial" w:hAnsi="Arial" w:cs="Arial"/>
                <w:color w:val="000000"/>
                <w:sz w:val="17"/>
                <w:szCs w:val="17"/>
              </w:rPr>
              <w:t xml:space="preserve">, </w:t>
            </w:r>
            <w:r w:rsidR="00D534AF">
              <w:rPr>
                <w:rFonts w:ascii="Arial" w:eastAsia="Arial" w:hAnsi="Arial" w:cs="Arial"/>
                <w:color w:val="000000"/>
                <w:sz w:val="17"/>
                <w:szCs w:val="17"/>
              </w:rPr>
              <w:t>junio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7B067E">
              <w:rPr>
                <w:rFonts w:ascii="Arial" w:eastAsia="Arial" w:hAnsi="Arial" w:cs="Arial"/>
                <w:sz w:val="17"/>
                <w:szCs w:val="17"/>
              </w:rPr>
              <w:t>1156</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3CED9981" w:rsidR="005860BC" w:rsidRPr="009604E4" w:rsidRDefault="007B067E" w:rsidP="00E87B35">
            <w:pPr>
              <w:ind w:left="-99"/>
              <w:jc w:val="right"/>
              <w:rPr>
                <w:sz w:val="16"/>
                <w:szCs w:val="16"/>
                <w:u w:val="single"/>
                <w:lang w:val="es-CR"/>
              </w:rPr>
            </w:pPr>
            <w:hyperlink r:id="rId10" w:history="1">
              <w:r w:rsidRPr="00964D72">
                <w:rPr>
                  <w:rStyle w:val="Hipervnculo"/>
                  <w:bCs/>
                  <w:sz w:val="16"/>
                  <w:szCs w:val="16"/>
                </w:rPr>
                <w:t>https://doi.org/10.31434/rms.v9i6.1156</w:t>
              </w:r>
            </w:hyperlink>
            <w:r>
              <w:rPr>
                <w:bCs/>
                <w:sz w:val="16"/>
                <w:szCs w:val="16"/>
              </w:rPr>
              <w:t xml:space="preserve"> </w:t>
            </w:r>
            <w:r w:rsidR="00BA60E7">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385255"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8B55A7"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61C6D4C8" w14:textId="4D0C5E54" w:rsidR="008B55A7" w:rsidRDefault="00A5533B" w:rsidP="00221512">
            <w:pPr>
              <w:spacing w:line="276" w:lineRule="auto"/>
              <w:jc w:val="center"/>
              <w:rPr>
                <w:rFonts w:eastAsia="TimesNewRomanPS-BoldMT"/>
                <w:b/>
                <w:bCs/>
                <w:color w:val="000000"/>
                <w:sz w:val="28"/>
                <w:szCs w:val="28"/>
                <w:lang w:val="es-CR"/>
              </w:rPr>
            </w:pPr>
            <w:r w:rsidRPr="00A5533B">
              <w:rPr>
                <w:rFonts w:eastAsia="TimesNewRomanPS-BoldMT"/>
                <w:b/>
                <w:bCs/>
                <w:color w:val="000000"/>
                <w:sz w:val="28"/>
                <w:szCs w:val="28"/>
                <w:lang w:val="es-CR"/>
              </w:rPr>
              <w:t xml:space="preserve">Deterioro cognitivo y nivel de discapacidad funcional en pacientes con antecedente de evento vascular cerebral, en la </w:t>
            </w:r>
            <w:r w:rsidR="00200FC2">
              <w:rPr>
                <w:rFonts w:eastAsia="TimesNewRomanPS-BoldMT"/>
                <w:b/>
                <w:bCs/>
                <w:color w:val="000000"/>
                <w:sz w:val="28"/>
                <w:szCs w:val="28"/>
                <w:lang w:val="es-CR"/>
              </w:rPr>
              <w:t>UMF</w:t>
            </w:r>
            <w:r w:rsidRPr="00A5533B">
              <w:rPr>
                <w:rFonts w:eastAsia="TimesNewRomanPS-BoldMT"/>
                <w:b/>
                <w:bCs/>
                <w:color w:val="000000"/>
                <w:sz w:val="28"/>
                <w:szCs w:val="28"/>
                <w:lang w:val="es-CR"/>
              </w:rPr>
              <w:t xml:space="preserve"> 6</w:t>
            </w:r>
            <w:r w:rsidR="008B55A7" w:rsidRPr="008B55A7">
              <w:rPr>
                <w:rFonts w:eastAsia="TimesNewRomanPS-BoldMT"/>
                <w:b/>
                <w:bCs/>
                <w:color w:val="000000"/>
                <w:sz w:val="28"/>
                <w:szCs w:val="28"/>
                <w:lang w:val="es-CR"/>
              </w:rPr>
              <w:t>2</w:t>
            </w:r>
          </w:p>
          <w:p w14:paraId="5DE01103" w14:textId="7E66F7F5" w:rsidR="00601DC5" w:rsidRPr="008B55A7" w:rsidRDefault="00E74A77" w:rsidP="008B55A7">
            <w:pPr>
              <w:spacing w:line="276" w:lineRule="auto"/>
              <w:jc w:val="center"/>
              <w:rPr>
                <w:rFonts w:ascii="Arial" w:hAnsi="Arial" w:cs="Arial"/>
                <w:sz w:val="26"/>
                <w:szCs w:val="26"/>
                <w:lang w:val="en-US"/>
              </w:rPr>
            </w:pPr>
            <w:r w:rsidRPr="00E74A77">
              <w:rPr>
                <w:rFonts w:ascii="Arial" w:hAnsi="Arial" w:cs="Arial"/>
                <w:sz w:val="26"/>
                <w:szCs w:val="26"/>
                <w:lang w:val="en-US"/>
              </w:rPr>
              <w:t xml:space="preserve">Cognitive impairment and level of functional disability in patients with history of cerebral vascular event, in the </w:t>
            </w:r>
            <w:r w:rsidR="00200FC2">
              <w:rPr>
                <w:rFonts w:ascii="Arial" w:hAnsi="Arial" w:cs="Arial"/>
                <w:sz w:val="26"/>
                <w:szCs w:val="26"/>
                <w:lang w:val="en-US"/>
              </w:rPr>
              <w:t>UMF</w:t>
            </w:r>
            <w:r w:rsidRPr="00E74A77">
              <w:rPr>
                <w:rFonts w:ascii="Arial" w:hAnsi="Arial" w:cs="Arial"/>
                <w:sz w:val="26"/>
                <w:szCs w:val="26"/>
                <w:lang w:val="en-US"/>
              </w:rPr>
              <w:t xml:space="preserve"> 6</w:t>
            </w:r>
            <w:r w:rsidR="008B55A7" w:rsidRPr="008B55A7">
              <w:rPr>
                <w:rFonts w:ascii="Arial" w:hAnsi="Arial" w:cs="Arial"/>
                <w:sz w:val="26"/>
                <w:szCs w:val="26"/>
                <w:lang w:val="en-US"/>
              </w:rPr>
              <w:t>2</w:t>
            </w:r>
          </w:p>
        </w:tc>
      </w:tr>
      <w:tr w:rsidR="005860BC" w:rsidRPr="004B5802" w14:paraId="0C5B1BB9" w14:textId="77777777" w:rsidTr="00221512">
        <w:trPr>
          <w:jc w:val="center"/>
        </w:trPr>
        <w:tc>
          <w:tcPr>
            <w:tcW w:w="2355" w:type="dxa"/>
            <w:gridSpan w:val="2"/>
            <w:vAlign w:val="center"/>
          </w:tcPr>
          <w:p w14:paraId="3DC97774" w14:textId="4851F7BC" w:rsidR="005860BC" w:rsidRPr="008B55A7" w:rsidRDefault="007A29CB" w:rsidP="003757A9">
            <w:pPr>
              <w:jc w:val="center"/>
              <w:rPr>
                <w:rFonts w:ascii="Arial" w:hAnsi="Arial" w:cs="Arial"/>
                <w:b/>
                <w:sz w:val="24"/>
                <w:szCs w:val="28"/>
                <w:lang w:val="en-US"/>
              </w:rPr>
            </w:pPr>
            <w:r>
              <w:rPr>
                <w:noProof/>
              </w:rPr>
              <w:drawing>
                <wp:inline distT="0" distB="0" distL="0" distR="0" wp14:anchorId="0B99CD94" wp14:editId="5ADCC6F6">
                  <wp:extent cx="1411200" cy="1440000"/>
                  <wp:effectExtent l="0" t="0" r="0" b="8255"/>
                  <wp:docPr id="18153375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37513" name=""/>
                          <pic:cNvPicPr/>
                        </pic:nvPicPr>
                        <pic:blipFill>
                          <a:blip r:embed="rId13"/>
                          <a:stretch>
                            <a:fillRect/>
                          </a:stretch>
                        </pic:blipFill>
                        <pic:spPr>
                          <a:xfrm>
                            <a:off x="0" y="0"/>
                            <a:ext cx="1411200" cy="1440000"/>
                          </a:xfrm>
                          <a:prstGeom prst="rect">
                            <a:avLst/>
                          </a:prstGeom>
                        </pic:spPr>
                      </pic:pic>
                    </a:graphicData>
                  </a:graphic>
                </wp:inline>
              </w:drawing>
            </w:r>
          </w:p>
        </w:tc>
        <w:tc>
          <w:tcPr>
            <w:tcW w:w="7071" w:type="dxa"/>
            <w:gridSpan w:val="5"/>
            <w:vAlign w:val="center"/>
          </w:tcPr>
          <w:p w14:paraId="0875A3D9" w14:textId="77777777" w:rsidR="00507BEF" w:rsidRPr="008B55A7" w:rsidRDefault="00507BEF" w:rsidP="001333F2">
            <w:pPr>
              <w:spacing w:line="276" w:lineRule="auto"/>
              <w:jc w:val="right"/>
              <w:rPr>
                <w:rFonts w:ascii="Arial" w:hAnsi="Arial" w:cs="Arial"/>
                <w:b/>
                <w:bCs/>
                <w:sz w:val="20"/>
                <w:szCs w:val="20"/>
                <w:vertAlign w:val="superscript"/>
                <w:lang w:val="en-US"/>
              </w:rPr>
            </w:pPr>
          </w:p>
          <w:p w14:paraId="563B103F" w14:textId="1E64CCC2" w:rsidR="002549D2" w:rsidRPr="00BA60E7" w:rsidRDefault="00AE5EA0" w:rsidP="008B55A7">
            <w:pPr>
              <w:spacing w:line="276" w:lineRule="auto"/>
              <w:jc w:val="right"/>
              <w:rPr>
                <w:rFonts w:ascii="Arial" w:hAnsi="Arial" w:cs="Arial"/>
                <w:b/>
                <w:bCs/>
                <w:sz w:val="20"/>
                <w:szCs w:val="20"/>
                <w:lang w:val="es-CR"/>
              </w:rPr>
            </w:pPr>
            <w:r w:rsidRPr="00BA60E7">
              <w:rPr>
                <w:rFonts w:ascii="Arial" w:hAnsi="Arial" w:cs="Arial"/>
                <w:b/>
                <w:bCs/>
                <w:sz w:val="20"/>
                <w:szCs w:val="20"/>
                <w:vertAlign w:val="superscript"/>
                <w:lang w:val="es-CR"/>
              </w:rPr>
              <w:t>1</w:t>
            </w:r>
            <w:r w:rsidR="004E0917" w:rsidRPr="00BA60E7">
              <w:rPr>
                <w:lang w:val="es-CR"/>
              </w:rPr>
              <w:t xml:space="preserve"> </w:t>
            </w:r>
            <w:r w:rsidR="000E5983" w:rsidRPr="00BA60E7">
              <w:rPr>
                <w:rFonts w:ascii="Arial" w:hAnsi="Arial" w:cs="Arial"/>
                <w:b/>
                <w:bCs/>
                <w:sz w:val="20"/>
                <w:szCs w:val="20"/>
                <w:lang w:val="es-CR"/>
              </w:rPr>
              <w:t xml:space="preserve">Dra. </w:t>
            </w:r>
            <w:r w:rsidR="00683689" w:rsidRPr="00683689">
              <w:rPr>
                <w:rFonts w:ascii="Arial" w:hAnsi="Arial" w:cs="Arial"/>
                <w:b/>
                <w:bCs/>
                <w:sz w:val="20"/>
                <w:szCs w:val="20"/>
                <w:lang w:val="es-CR"/>
              </w:rPr>
              <w:t>Claudia Valeria Guerra José</w:t>
            </w:r>
          </w:p>
          <w:p w14:paraId="3EB48661" w14:textId="0FCE436A" w:rsidR="00B211D8" w:rsidRPr="00B211D8" w:rsidRDefault="00B211D8" w:rsidP="00B211D8">
            <w:pPr>
              <w:jc w:val="right"/>
              <w:rPr>
                <w:sz w:val="18"/>
                <w:szCs w:val="18"/>
                <w:lang w:val="es-CR"/>
              </w:rPr>
            </w:pPr>
            <w:r w:rsidRPr="00B211D8">
              <w:rPr>
                <w:sz w:val="18"/>
                <w:szCs w:val="18"/>
                <w:lang w:val="es-CR"/>
              </w:rPr>
              <w:t>Unidad de Medicina Familiar N°62</w:t>
            </w:r>
            <w:r>
              <w:rPr>
                <w:sz w:val="18"/>
                <w:szCs w:val="18"/>
                <w:lang w:val="es-CR"/>
              </w:rPr>
              <w:t xml:space="preserve"> </w:t>
            </w:r>
            <w:r w:rsidRPr="00B211D8">
              <w:rPr>
                <w:sz w:val="18"/>
                <w:szCs w:val="18"/>
                <w:lang w:val="es-CR"/>
              </w:rPr>
              <w:t>-</w:t>
            </w:r>
            <w:r>
              <w:rPr>
                <w:sz w:val="18"/>
                <w:szCs w:val="18"/>
                <w:lang w:val="es-CR"/>
              </w:rPr>
              <w:t xml:space="preserve"> </w:t>
            </w:r>
            <w:r w:rsidRPr="00B211D8">
              <w:rPr>
                <w:sz w:val="18"/>
                <w:szCs w:val="18"/>
                <w:lang w:val="es-CR"/>
              </w:rPr>
              <w:t>Instituto Mexicano del Seguro Social,</w:t>
            </w:r>
          </w:p>
          <w:p w14:paraId="0C32AA29" w14:textId="2E93FF19" w:rsidR="004D7BD5" w:rsidRPr="00E1334F" w:rsidRDefault="00B211D8" w:rsidP="00B211D8">
            <w:pPr>
              <w:spacing w:line="276" w:lineRule="auto"/>
              <w:jc w:val="right"/>
              <w:rPr>
                <w:rFonts w:ascii="Arial" w:hAnsi="Arial" w:cs="Arial"/>
                <w:b/>
                <w:bCs/>
                <w:sz w:val="20"/>
                <w:szCs w:val="20"/>
                <w:lang w:val="es-CR"/>
              </w:rPr>
            </w:pPr>
            <w:r w:rsidRPr="00B211D8">
              <w:rPr>
                <w:sz w:val="18"/>
                <w:szCs w:val="18"/>
                <w:lang w:val="es-CR"/>
              </w:rPr>
              <w:t>Cuautitlán, México</w:t>
            </w:r>
            <w:r w:rsidR="004D7BD5" w:rsidRPr="00E1334F">
              <w:rPr>
                <w:sz w:val="18"/>
                <w:szCs w:val="18"/>
                <w:lang w:val="es-CR"/>
              </w:rPr>
              <w:t xml:space="preserve"> </w:t>
            </w:r>
          </w:p>
          <w:p w14:paraId="1E4C38BE" w14:textId="77777777" w:rsidR="0057580D" w:rsidRPr="0057580D" w:rsidRDefault="0057580D" w:rsidP="0057580D">
            <w:pPr>
              <w:pStyle w:val="Prrafodelista"/>
              <w:numPr>
                <w:ilvl w:val="0"/>
                <w:numId w:val="1"/>
              </w:numPr>
              <w:jc w:val="right"/>
              <w:rPr>
                <w:rFonts w:ascii="Arial" w:hAnsi="Arial" w:cs="Arial"/>
                <w:b/>
                <w:bCs/>
                <w:sz w:val="20"/>
                <w:szCs w:val="20"/>
                <w:lang w:val="es-CR"/>
              </w:rPr>
            </w:pPr>
            <w:hyperlink r:id="rId14" w:history="1">
              <w:r w:rsidRPr="00964D72">
                <w:rPr>
                  <w:rStyle w:val="Hipervnculo"/>
                  <w:sz w:val="18"/>
                  <w:szCs w:val="18"/>
                  <w:lang w:val="es-CR"/>
                </w:rPr>
                <w:t>https://orcid.org/0000-0003-0109-3619</w:t>
              </w:r>
            </w:hyperlink>
            <w:r>
              <w:rPr>
                <w:sz w:val="18"/>
                <w:szCs w:val="18"/>
                <w:lang w:val="es-CR"/>
              </w:rPr>
              <w:t xml:space="preserve"> </w:t>
            </w:r>
          </w:p>
          <w:p w14:paraId="6A09EAE2" w14:textId="73083E55" w:rsidR="00101C66" w:rsidRPr="0057580D" w:rsidRDefault="0057580D" w:rsidP="0057580D">
            <w:pPr>
              <w:pStyle w:val="Prrafodelista"/>
              <w:jc w:val="center"/>
              <w:rPr>
                <w:rFonts w:ascii="Arial" w:hAnsi="Arial" w:cs="Arial"/>
                <w:b/>
                <w:bCs/>
                <w:sz w:val="20"/>
                <w:szCs w:val="20"/>
                <w:lang w:val="es-CR"/>
              </w:rPr>
            </w:pPr>
            <w:r w:rsidRPr="0057580D">
              <w:rPr>
                <w:sz w:val="18"/>
                <w:szCs w:val="18"/>
                <w:lang w:val="es-CR"/>
              </w:rPr>
              <w:t xml:space="preserve"> </w:t>
            </w:r>
            <w:r>
              <w:rPr>
                <w:sz w:val="18"/>
                <w:szCs w:val="18"/>
                <w:lang w:val="es-CR"/>
              </w:rPr>
              <w:t xml:space="preserve"> </w:t>
            </w:r>
          </w:p>
          <w:p w14:paraId="424C7EC9" w14:textId="1D6A0FFA" w:rsidR="00392F3F" w:rsidRPr="00BA60E7" w:rsidRDefault="00101C66" w:rsidP="00392F3F">
            <w:pPr>
              <w:spacing w:line="276" w:lineRule="auto"/>
              <w:jc w:val="right"/>
              <w:rPr>
                <w:rFonts w:ascii="Arial" w:hAnsi="Arial" w:cs="Arial"/>
                <w:b/>
                <w:bCs/>
                <w:sz w:val="20"/>
                <w:szCs w:val="20"/>
                <w:lang w:val="es-CR"/>
              </w:rPr>
            </w:pPr>
            <w:r w:rsidRPr="00BA60E7">
              <w:rPr>
                <w:rFonts w:ascii="Arial" w:hAnsi="Arial" w:cs="Arial"/>
                <w:b/>
                <w:bCs/>
                <w:sz w:val="20"/>
                <w:szCs w:val="20"/>
                <w:lang w:val="es-CR"/>
              </w:rPr>
              <w:t xml:space="preserve">Dr. </w:t>
            </w:r>
            <w:r w:rsidR="00392F3F" w:rsidRPr="00392F3F">
              <w:rPr>
                <w:rFonts w:ascii="Arial" w:hAnsi="Arial" w:cs="Arial"/>
                <w:b/>
                <w:bCs/>
                <w:sz w:val="20"/>
                <w:szCs w:val="20"/>
                <w:lang w:val="es-CR"/>
              </w:rPr>
              <w:t>Rubén Ríos Morales</w:t>
            </w:r>
          </w:p>
          <w:p w14:paraId="78B56F03" w14:textId="77777777" w:rsidR="00101C66" w:rsidRPr="00B211D8" w:rsidRDefault="00101C66" w:rsidP="00101C66">
            <w:pPr>
              <w:jc w:val="right"/>
              <w:rPr>
                <w:sz w:val="18"/>
                <w:szCs w:val="18"/>
                <w:lang w:val="es-CR"/>
              </w:rPr>
            </w:pPr>
            <w:r w:rsidRPr="00B211D8">
              <w:rPr>
                <w:sz w:val="18"/>
                <w:szCs w:val="18"/>
                <w:lang w:val="es-CR"/>
              </w:rPr>
              <w:t>Unidad de Medicina Familiar N°62</w:t>
            </w:r>
            <w:r>
              <w:rPr>
                <w:sz w:val="18"/>
                <w:szCs w:val="18"/>
                <w:lang w:val="es-CR"/>
              </w:rPr>
              <w:t xml:space="preserve"> </w:t>
            </w:r>
            <w:r w:rsidRPr="00B211D8">
              <w:rPr>
                <w:sz w:val="18"/>
                <w:szCs w:val="18"/>
                <w:lang w:val="es-CR"/>
              </w:rPr>
              <w:t>-</w:t>
            </w:r>
            <w:r>
              <w:rPr>
                <w:sz w:val="18"/>
                <w:szCs w:val="18"/>
                <w:lang w:val="es-CR"/>
              </w:rPr>
              <w:t xml:space="preserve"> </w:t>
            </w:r>
            <w:r w:rsidRPr="00B211D8">
              <w:rPr>
                <w:sz w:val="18"/>
                <w:szCs w:val="18"/>
                <w:lang w:val="es-CR"/>
              </w:rPr>
              <w:t>Instituto Mexicano del Seguro Social,</w:t>
            </w:r>
          </w:p>
          <w:p w14:paraId="6370B2E2" w14:textId="77777777" w:rsidR="00101C66" w:rsidRPr="00E1334F" w:rsidRDefault="00101C66" w:rsidP="00101C66">
            <w:pPr>
              <w:spacing w:line="276" w:lineRule="auto"/>
              <w:jc w:val="right"/>
              <w:rPr>
                <w:rFonts w:ascii="Arial" w:hAnsi="Arial" w:cs="Arial"/>
                <w:b/>
                <w:bCs/>
                <w:sz w:val="20"/>
                <w:szCs w:val="20"/>
                <w:lang w:val="es-CR"/>
              </w:rPr>
            </w:pPr>
            <w:r w:rsidRPr="00B211D8">
              <w:rPr>
                <w:sz w:val="18"/>
                <w:szCs w:val="18"/>
                <w:lang w:val="es-CR"/>
              </w:rPr>
              <w:t>Cuautitlán, México</w:t>
            </w:r>
            <w:r w:rsidRPr="00E1334F">
              <w:rPr>
                <w:sz w:val="18"/>
                <w:szCs w:val="18"/>
                <w:lang w:val="es-CR"/>
              </w:rPr>
              <w:t xml:space="preserve"> </w:t>
            </w:r>
          </w:p>
          <w:p w14:paraId="79184089" w14:textId="709B81D6" w:rsidR="00101C66" w:rsidRPr="00101C66" w:rsidRDefault="004B5802" w:rsidP="00101C66">
            <w:pPr>
              <w:pStyle w:val="Prrafodelista"/>
              <w:numPr>
                <w:ilvl w:val="0"/>
                <w:numId w:val="1"/>
              </w:numPr>
              <w:jc w:val="right"/>
              <w:rPr>
                <w:sz w:val="18"/>
                <w:szCs w:val="18"/>
                <w:lang w:val="es-CR"/>
              </w:rPr>
            </w:pPr>
            <w:hyperlink r:id="rId15" w:history="1">
              <w:r w:rsidRPr="00964D72">
                <w:rPr>
                  <w:rStyle w:val="Hipervnculo"/>
                  <w:sz w:val="18"/>
                  <w:szCs w:val="18"/>
                  <w:lang w:val="es-CR"/>
                </w:rPr>
                <w:t>https://orcid.org/0000-0001-5173-4645</w:t>
              </w:r>
            </w:hyperlink>
            <w:r>
              <w:rPr>
                <w:sz w:val="18"/>
                <w:szCs w:val="18"/>
                <w:lang w:val="es-CR"/>
              </w:rPr>
              <w:t xml:space="preserve"> </w:t>
            </w:r>
            <w:r w:rsidR="007B3122">
              <w:rPr>
                <w:sz w:val="18"/>
                <w:szCs w:val="18"/>
                <w:lang w:val="es-CR"/>
              </w:rPr>
              <w:t xml:space="preserve"> </w:t>
            </w:r>
          </w:p>
          <w:p w14:paraId="700509EF" w14:textId="295BC1C8" w:rsidR="005860BC" w:rsidRPr="00D950FE" w:rsidRDefault="00221512" w:rsidP="008B55A7">
            <w:pPr>
              <w:rPr>
                <w:sz w:val="18"/>
                <w:szCs w:val="18"/>
                <w:lang w:val="es-CR"/>
              </w:rPr>
            </w:pPr>
            <w:r w:rsidRPr="00D950FE">
              <w:rPr>
                <w:sz w:val="18"/>
                <w:szCs w:val="18"/>
                <w:lang w:val="es-CR"/>
              </w:rPr>
              <w:t xml:space="preserve">   </w:t>
            </w:r>
          </w:p>
        </w:tc>
      </w:tr>
      <w:tr w:rsidR="005860BC" w14:paraId="46C2D20E" w14:textId="77777777" w:rsidTr="00BA0731">
        <w:trPr>
          <w:trHeight w:val="432"/>
          <w:jc w:val="center"/>
        </w:trPr>
        <w:tc>
          <w:tcPr>
            <w:tcW w:w="3594" w:type="dxa"/>
            <w:gridSpan w:val="3"/>
            <w:shd w:val="clear" w:color="auto" w:fill="auto"/>
            <w:vAlign w:val="center"/>
          </w:tcPr>
          <w:p w14:paraId="1E435277"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Recibido</w:t>
            </w:r>
          </w:p>
          <w:p w14:paraId="17BF52EF" w14:textId="7DB6AE11" w:rsidR="005860BC" w:rsidRPr="00BA0731" w:rsidRDefault="003A6F09" w:rsidP="003757A9">
            <w:pPr>
              <w:jc w:val="center"/>
              <w:rPr>
                <w:rFonts w:ascii="Arial" w:eastAsia="Arial" w:hAnsi="Arial" w:cs="Arial"/>
                <w:sz w:val="15"/>
                <w:szCs w:val="15"/>
              </w:rPr>
            </w:pPr>
            <w:r>
              <w:rPr>
                <w:rFonts w:ascii="Arial" w:eastAsia="Arial" w:hAnsi="Arial" w:cs="Arial"/>
                <w:sz w:val="15"/>
                <w:szCs w:val="15"/>
              </w:rPr>
              <w:t>15</w:t>
            </w:r>
            <w:r w:rsidR="005860BC" w:rsidRPr="00BA0731">
              <w:rPr>
                <w:rFonts w:ascii="Arial" w:eastAsia="Arial" w:hAnsi="Arial" w:cs="Arial"/>
                <w:sz w:val="15"/>
                <w:szCs w:val="15"/>
              </w:rPr>
              <w:t>/</w:t>
            </w:r>
            <w:r w:rsidR="00042238" w:rsidRPr="00BA0731">
              <w:rPr>
                <w:rFonts w:ascii="Arial" w:eastAsia="Arial" w:hAnsi="Arial" w:cs="Arial"/>
                <w:sz w:val="15"/>
                <w:szCs w:val="15"/>
              </w:rPr>
              <w:t>0</w:t>
            </w:r>
            <w:r w:rsidR="00541DE8">
              <w:rPr>
                <w:rFonts w:ascii="Arial" w:eastAsia="Arial" w:hAnsi="Arial" w:cs="Arial"/>
                <w:sz w:val="15"/>
                <w:szCs w:val="15"/>
              </w:rPr>
              <w:t>4</w:t>
            </w:r>
            <w:r w:rsidR="005860BC" w:rsidRPr="00BA0731">
              <w:rPr>
                <w:rFonts w:ascii="Arial" w:eastAsia="Arial" w:hAnsi="Arial" w:cs="Arial"/>
                <w:sz w:val="15"/>
                <w:szCs w:val="15"/>
              </w:rPr>
              <w:t>/202</w:t>
            </w:r>
            <w:r w:rsidR="00191678" w:rsidRPr="00BA0731">
              <w:rPr>
                <w:rFonts w:ascii="Arial" w:eastAsia="Arial" w:hAnsi="Arial" w:cs="Arial"/>
                <w:sz w:val="15"/>
                <w:szCs w:val="15"/>
              </w:rPr>
              <w:t>4</w:t>
            </w:r>
          </w:p>
          <w:p w14:paraId="21DD5B0A" w14:textId="77777777" w:rsidR="005860BC" w:rsidRPr="00BA0731" w:rsidRDefault="005860BC" w:rsidP="003757A9">
            <w:pPr>
              <w:jc w:val="center"/>
              <w:rPr>
                <w:rFonts w:ascii="Arial" w:eastAsia="Arial" w:hAnsi="Arial" w:cs="Arial"/>
                <w:sz w:val="15"/>
                <w:szCs w:val="15"/>
              </w:rPr>
            </w:pPr>
          </w:p>
        </w:tc>
        <w:tc>
          <w:tcPr>
            <w:tcW w:w="2467" w:type="dxa"/>
            <w:gridSpan w:val="2"/>
            <w:shd w:val="clear" w:color="auto" w:fill="auto"/>
            <w:vAlign w:val="center"/>
          </w:tcPr>
          <w:p w14:paraId="43FA5BA9"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Corregido</w:t>
            </w:r>
          </w:p>
          <w:p w14:paraId="769B31BE" w14:textId="4EEE05D3" w:rsidR="005860BC" w:rsidRPr="00BA0731" w:rsidRDefault="00541DE8" w:rsidP="003757A9">
            <w:pPr>
              <w:jc w:val="center"/>
              <w:rPr>
                <w:rFonts w:ascii="Arial" w:eastAsia="Arial" w:hAnsi="Arial" w:cs="Arial"/>
                <w:sz w:val="15"/>
                <w:szCs w:val="15"/>
              </w:rPr>
            </w:pPr>
            <w:r>
              <w:rPr>
                <w:rFonts w:ascii="Arial" w:eastAsia="Arial" w:hAnsi="Arial" w:cs="Arial"/>
                <w:sz w:val="15"/>
                <w:szCs w:val="15"/>
              </w:rPr>
              <w:t>18</w:t>
            </w:r>
            <w:r w:rsidR="005860BC" w:rsidRPr="00BA0731">
              <w:rPr>
                <w:rFonts w:ascii="Arial" w:eastAsia="Arial" w:hAnsi="Arial" w:cs="Arial"/>
                <w:sz w:val="15"/>
                <w:szCs w:val="15"/>
              </w:rPr>
              <w:t>/</w:t>
            </w:r>
            <w:r w:rsidR="00234766" w:rsidRPr="00BA0731">
              <w:rPr>
                <w:rFonts w:ascii="Arial" w:eastAsia="Arial" w:hAnsi="Arial" w:cs="Arial"/>
                <w:sz w:val="15"/>
                <w:szCs w:val="15"/>
              </w:rPr>
              <w:t>0</w:t>
            </w:r>
            <w:r>
              <w:rPr>
                <w:rFonts w:ascii="Arial" w:eastAsia="Arial" w:hAnsi="Arial" w:cs="Arial"/>
                <w:sz w:val="15"/>
                <w:szCs w:val="15"/>
              </w:rPr>
              <w:t>5</w:t>
            </w:r>
            <w:r w:rsidR="00191678" w:rsidRPr="00BA0731">
              <w:rPr>
                <w:rFonts w:ascii="Arial" w:eastAsia="Arial" w:hAnsi="Arial" w:cs="Arial"/>
                <w:sz w:val="15"/>
                <w:szCs w:val="15"/>
              </w:rPr>
              <w:t>/2024</w:t>
            </w:r>
          </w:p>
          <w:p w14:paraId="3AD02D93" w14:textId="77777777" w:rsidR="005860BC" w:rsidRPr="00BA0731" w:rsidRDefault="005860BC" w:rsidP="003757A9">
            <w:pPr>
              <w:jc w:val="center"/>
              <w:rPr>
                <w:rFonts w:ascii="Arial" w:eastAsia="Arial" w:hAnsi="Arial" w:cs="Arial"/>
                <w:sz w:val="15"/>
                <w:szCs w:val="15"/>
              </w:rPr>
            </w:pPr>
          </w:p>
        </w:tc>
        <w:tc>
          <w:tcPr>
            <w:tcW w:w="3365" w:type="dxa"/>
            <w:gridSpan w:val="2"/>
            <w:shd w:val="clear" w:color="auto" w:fill="auto"/>
            <w:vAlign w:val="center"/>
          </w:tcPr>
          <w:p w14:paraId="5F713B70" w14:textId="77777777" w:rsidR="005860BC" w:rsidRPr="00BA0731" w:rsidRDefault="005860BC" w:rsidP="003757A9">
            <w:pPr>
              <w:jc w:val="center"/>
              <w:rPr>
                <w:rFonts w:ascii="Arial" w:hAnsi="Arial" w:cs="Arial"/>
                <w:sz w:val="16"/>
                <w:szCs w:val="16"/>
              </w:rPr>
            </w:pPr>
            <w:r w:rsidRPr="00BA0731">
              <w:rPr>
                <w:rFonts w:ascii="Arial" w:hAnsi="Arial" w:cs="Arial"/>
                <w:sz w:val="16"/>
                <w:szCs w:val="16"/>
              </w:rPr>
              <w:t>Aceptado</w:t>
            </w:r>
          </w:p>
          <w:p w14:paraId="3CCE9887" w14:textId="02E0AA7B" w:rsidR="00C21442" w:rsidRPr="00BA0731" w:rsidRDefault="00234766" w:rsidP="00C21442">
            <w:pPr>
              <w:jc w:val="center"/>
              <w:rPr>
                <w:rFonts w:ascii="Arial" w:eastAsia="Arial" w:hAnsi="Arial" w:cs="Arial"/>
                <w:sz w:val="15"/>
                <w:szCs w:val="15"/>
              </w:rPr>
            </w:pPr>
            <w:r w:rsidRPr="00BA0731">
              <w:rPr>
                <w:rFonts w:ascii="Arial" w:eastAsia="Arial" w:hAnsi="Arial" w:cs="Arial"/>
                <w:sz w:val="15"/>
                <w:szCs w:val="15"/>
              </w:rPr>
              <w:t>20</w:t>
            </w:r>
            <w:r w:rsidR="0073664C" w:rsidRPr="00BA0731">
              <w:rPr>
                <w:rFonts w:ascii="Arial" w:eastAsia="Arial" w:hAnsi="Arial" w:cs="Arial"/>
                <w:sz w:val="15"/>
                <w:szCs w:val="15"/>
              </w:rPr>
              <w:t>/</w:t>
            </w:r>
            <w:r w:rsidRPr="00BA0731">
              <w:rPr>
                <w:rFonts w:ascii="Arial" w:eastAsia="Arial" w:hAnsi="Arial" w:cs="Arial"/>
                <w:sz w:val="15"/>
                <w:szCs w:val="15"/>
              </w:rPr>
              <w:t>0</w:t>
            </w:r>
            <w:r w:rsidR="00541DE8">
              <w:rPr>
                <w:rFonts w:ascii="Arial" w:eastAsia="Arial" w:hAnsi="Arial" w:cs="Arial"/>
                <w:sz w:val="15"/>
                <w:szCs w:val="15"/>
              </w:rPr>
              <w:t>5</w:t>
            </w:r>
            <w:r w:rsidR="00191678" w:rsidRPr="00BA0731">
              <w:rPr>
                <w:rFonts w:ascii="Arial" w:eastAsia="Arial" w:hAnsi="Arial" w:cs="Arial"/>
                <w:sz w:val="15"/>
                <w:szCs w:val="15"/>
              </w:rPr>
              <w:t>/2024</w:t>
            </w:r>
          </w:p>
          <w:p w14:paraId="6C63ABCD" w14:textId="77777777" w:rsidR="005860BC" w:rsidRPr="00BA0731"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26C43B04" w14:textId="7D98F948" w:rsidR="00EF08AA" w:rsidRPr="00EF08AA" w:rsidRDefault="00EF08AA" w:rsidP="00EF08AA">
            <w:pPr>
              <w:widowControl w:val="0"/>
              <w:pBdr>
                <w:top w:val="nil"/>
                <w:left w:val="nil"/>
                <w:bottom w:val="nil"/>
                <w:right w:val="nil"/>
                <w:between w:val="nil"/>
              </w:pBdr>
              <w:shd w:val="clear" w:color="auto" w:fill="C6D9F1"/>
              <w:ind w:left="22" w:right="56" w:hanging="22"/>
              <w:jc w:val="both"/>
              <w:rPr>
                <w:rFonts w:ascii="Arial" w:hAnsi="Arial" w:cs="Arial"/>
              </w:rPr>
            </w:pPr>
            <w:r w:rsidRPr="00EF08AA">
              <w:rPr>
                <w:rFonts w:ascii="Arial" w:hAnsi="Arial" w:cs="Arial"/>
                <w:b/>
                <w:bCs/>
              </w:rPr>
              <w:t>Introducción</w:t>
            </w:r>
            <w:r w:rsidRPr="00EF08AA">
              <w:rPr>
                <w:rFonts w:ascii="Arial" w:hAnsi="Arial" w:cs="Arial"/>
              </w:rPr>
              <w:t>: En México, la enfermedad vascular cerebral afecta a 118 personas por cada 100,000 habitantes al año, siendo la segunda causa de muerte y la principal causa de discapacidad en los países latinoamericanos. Por ende, mi objetivo es estimar la asociación entre el deterioro cognitivo y el nivel de discapacidad en pacientes con antecedentes de evento vascular cerebral.</w:t>
            </w:r>
          </w:p>
          <w:p w14:paraId="3D308829" w14:textId="6816FD4B" w:rsidR="00EF08AA" w:rsidRPr="00EF08AA" w:rsidRDefault="00EF08AA" w:rsidP="00EF08AA">
            <w:pPr>
              <w:widowControl w:val="0"/>
              <w:pBdr>
                <w:top w:val="nil"/>
                <w:left w:val="nil"/>
                <w:bottom w:val="nil"/>
                <w:right w:val="nil"/>
                <w:between w:val="nil"/>
              </w:pBdr>
              <w:shd w:val="clear" w:color="auto" w:fill="C6D9F1"/>
              <w:ind w:left="22" w:right="56" w:hanging="22"/>
              <w:jc w:val="both"/>
              <w:rPr>
                <w:rFonts w:ascii="Arial" w:hAnsi="Arial" w:cs="Arial"/>
              </w:rPr>
            </w:pPr>
            <w:r w:rsidRPr="00EF08AA">
              <w:rPr>
                <w:rFonts w:ascii="Arial" w:hAnsi="Arial" w:cs="Arial"/>
                <w:b/>
                <w:bCs/>
              </w:rPr>
              <w:t>Métodos</w:t>
            </w:r>
            <w:r w:rsidRPr="00EF08AA">
              <w:rPr>
                <w:rFonts w:ascii="Arial" w:hAnsi="Arial" w:cs="Arial"/>
              </w:rPr>
              <w:t xml:space="preserve">: Se llevó a cabo un estudio de tipo observacional, analítico, transversal y prospectivo en una muestra de 115 pacientes seleccionados mediante un muestreo no probabilístico por conveniencia y no aleatorizado. Se incluyeron pacientes con diagnóstico de enfermedad vascular cerebral, pertenecientes a la </w:t>
            </w:r>
            <w:r w:rsidR="00200FC2">
              <w:rPr>
                <w:rFonts w:ascii="Arial" w:hAnsi="Arial" w:cs="Arial"/>
              </w:rPr>
              <w:t>UMF</w:t>
            </w:r>
            <w:r w:rsidRPr="00EF08AA">
              <w:rPr>
                <w:rFonts w:ascii="Arial" w:hAnsi="Arial" w:cs="Arial"/>
              </w:rPr>
              <w:t xml:space="preserve"> 62, de ambos sexos, que hubieran otorgado su consentimiento informado. Se realizó un análisis descriptivo de las variables cualitativas y cuantitativas, así como un análisis inferencial de las variables deterioro cognitivo y discapacidad funcional mediante la prueba U de Mann-Whitney, con un nivel de significancia establecido en p=&lt;0.05.</w:t>
            </w:r>
          </w:p>
          <w:p w14:paraId="17800BEA" w14:textId="479B9546" w:rsidR="00EF08AA" w:rsidRPr="00EF08AA" w:rsidRDefault="00EF08AA" w:rsidP="00EF08AA">
            <w:pPr>
              <w:widowControl w:val="0"/>
              <w:pBdr>
                <w:top w:val="nil"/>
                <w:left w:val="nil"/>
                <w:bottom w:val="nil"/>
                <w:right w:val="nil"/>
                <w:between w:val="nil"/>
              </w:pBdr>
              <w:shd w:val="clear" w:color="auto" w:fill="C6D9F1"/>
              <w:ind w:left="22" w:right="56" w:hanging="22"/>
              <w:jc w:val="both"/>
              <w:rPr>
                <w:rFonts w:ascii="Arial" w:hAnsi="Arial" w:cs="Arial"/>
              </w:rPr>
            </w:pPr>
            <w:r w:rsidRPr="00EF08AA">
              <w:rPr>
                <w:rFonts w:ascii="Arial" w:hAnsi="Arial" w:cs="Arial"/>
                <w:b/>
                <w:bCs/>
              </w:rPr>
              <w:t>Resultados</w:t>
            </w:r>
            <w:r w:rsidRPr="00EF08AA">
              <w:rPr>
                <w:rFonts w:ascii="Arial" w:hAnsi="Arial" w:cs="Arial"/>
              </w:rPr>
              <w:t xml:space="preserve">: La presencia de deterioro cognitivo condicionó un grado de dependencia física escasa en un 27.8% (32 pacientes), moderada en un 18.3% (21 pacientes), severa en un 3.5% (4 pacientes), y total en un 6.1% (7 pacientes), en comparación con los sujetos sin deterioro cognitivo en pacientes con antecedentes de enfermedad vascular cerebral. Además, un 2.6% (3 pacientes) mostró independencia. </w:t>
            </w:r>
          </w:p>
          <w:p w14:paraId="4BD7D16D" w14:textId="0F1F54BF" w:rsidR="00221512" w:rsidRDefault="00EF08AA" w:rsidP="00EF08AA">
            <w:pPr>
              <w:widowControl w:val="0"/>
              <w:pBdr>
                <w:top w:val="nil"/>
                <w:left w:val="nil"/>
                <w:bottom w:val="nil"/>
                <w:right w:val="nil"/>
                <w:between w:val="nil"/>
              </w:pBdr>
              <w:shd w:val="clear" w:color="auto" w:fill="C6D9F1"/>
              <w:spacing w:line="276" w:lineRule="auto"/>
              <w:ind w:left="22" w:right="56" w:hanging="22"/>
              <w:jc w:val="both"/>
              <w:rPr>
                <w:rFonts w:ascii="Arial" w:hAnsi="Arial" w:cs="Arial"/>
              </w:rPr>
            </w:pPr>
            <w:r w:rsidRPr="00EF08AA">
              <w:rPr>
                <w:rFonts w:ascii="Arial" w:hAnsi="Arial" w:cs="Arial"/>
                <w:b/>
                <w:bCs/>
              </w:rPr>
              <w:t>Conclusiones</w:t>
            </w:r>
            <w:r w:rsidRPr="00EF08AA">
              <w:rPr>
                <w:rFonts w:ascii="Arial" w:hAnsi="Arial" w:cs="Arial"/>
              </w:rPr>
              <w:t>: Se concluyó que la presencia de diabetes mellitus y la hipertensión arterial se relacionan con un mayor riesgo de presentar un grado de dependencia física secundario a enfermedad vascular cerebral asociado con deterioro cognitivo.</w:t>
            </w:r>
          </w:p>
          <w:p w14:paraId="77C918BF" w14:textId="77777777" w:rsidR="008B55A7" w:rsidRPr="00EC0E85" w:rsidRDefault="008B55A7"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5E02D519"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FC6568">
              <w:rPr>
                <w:rFonts w:cstheme="minorHAnsi"/>
              </w:rPr>
              <w:t>d</w:t>
            </w:r>
            <w:r w:rsidR="00C14C0D" w:rsidRPr="00C14C0D">
              <w:rPr>
                <w:rFonts w:cstheme="minorHAnsi"/>
              </w:rPr>
              <w:t>eterioro cognitivo</w:t>
            </w:r>
            <w:r w:rsidR="00C14C0D">
              <w:rPr>
                <w:rFonts w:cstheme="minorHAnsi"/>
              </w:rPr>
              <w:t>;</w:t>
            </w:r>
            <w:r w:rsidR="00C14C0D" w:rsidRPr="00C14C0D">
              <w:rPr>
                <w:rFonts w:cstheme="minorHAnsi"/>
              </w:rPr>
              <w:t xml:space="preserve"> </w:t>
            </w:r>
            <w:r w:rsidR="00C14C0D">
              <w:rPr>
                <w:rFonts w:cstheme="minorHAnsi"/>
              </w:rPr>
              <w:t>d</w:t>
            </w:r>
            <w:r w:rsidR="00C14C0D" w:rsidRPr="00C14C0D">
              <w:rPr>
                <w:rFonts w:cstheme="minorHAnsi"/>
              </w:rPr>
              <w:t>iscapacidad funcional</w:t>
            </w:r>
            <w:r w:rsidR="00C14C0D">
              <w:rPr>
                <w:rFonts w:cstheme="minorHAnsi"/>
              </w:rPr>
              <w:t>;</w:t>
            </w:r>
            <w:r w:rsidR="00C14C0D" w:rsidRPr="00C14C0D">
              <w:rPr>
                <w:rFonts w:cstheme="minorHAnsi"/>
              </w:rPr>
              <w:t xml:space="preserve"> </w:t>
            </w:r>
            <w:r w:rsidR="00C14C0D">
              <w:rPr>
                <w:rFonts w:cstheme="minorHAnsi"/>
              </w:rPr>
              <w:t>e</w:t>
            </w:r>
            <w:r w:rsidR="00C14C0D" w:rsidRPr="00C14C0D">
              <w:rPr>
                <w:rFonts w:cstheme="minorHAnsi"/>
              </w:rPr>
              <w:t xml:space="preserve">vento </w:t>
            </w:r>
            <w:r w:rsidR="00C14C0D">
              <w:rPr>
                <w:rFonts w:cstheme="minorHAnsi"/>
              </w:rPr>
              <w:t>v</w:t>
            </w:r>
            <w:r w:rsidR="00C14C0D" w:rsidRPr="00C14C0D">
              <w:rPr>
                <w:rFonts w:cstheme="minorHAnsi"/>
              </w:rPr>
              <w:t xml:space="preserve">ascular </w:t>
            </w:r>
            <w:r w:rsidR="00C14C0D">
              <w:rPr>
                <w:rFonts w:cstheme="minorHAnsi"/>
              </w:rPr>
              <w:t>c</w:t>
            </w:r>
            <w:r w:rsidR="00C14C0D" w:rsidRPr="00C14C0D">
              <w:rPr>
                <w:rFonts w:cstheme="minorHAnsi"/>
              </w:rPr>
              <w:t>erebral</w:t>
            </w:r>
            <w:r w:rsidR="008B55A7" w:rsidRPr="008B55A7">
              <w:rPr>
                <w:rFonts w:ascii="Arial" w:eastAsia="Times New Roman" w:hAnsi="Arial" w:cs="Arial"/>
              </w:rPr>
              <w:t>.</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507EF8A8" w14:textId="60457F82" w:rsidR="00055418" w:rsidRPr="00055418" w:rsidRDefault="00055418" w:rsidP="00055418">
            <w:pPr>
              <w:jc w:val="both"/>
              <w:rPr>
                <w:rFonts w:ascii="Arial" w:hAnsi="Arial" w:cs="Arial"/>
                <w:lang w:val="en-US"/>
              </w:rPr>
            </w:pPr>
            <w:r w:rsidRPr="00423DD5">
              <w:rPr>
                <w:rFonts w:ascii="Arial" w:hAnsi="Arial" w:cs="Arial"/>
                <w:b/>
                <w:bCs/>
                <w:lang w:val="en-US"/>
              </w:rPr>
              <w:lastRenderedPageBreak/>
              <w:t>Introduction</w:t>
            </w:r>
            <w:r w:rsidRPr="00055418">
              <w:rPr>
                <w:rFonts w:ascii="Arial" w:hAnsi="Arial" w:cs="Arial"/>
                <w:lang w:val="en-US"/>
              </w:rPr>
              <w:t>: In Mexico, cerebrovascular disease affects 118 individuals per 100,000 inhabitants per year, making it the second leading cause of death and the primary cause of disability in Latin American countries. Therefore, my objective is to estimate the association between cognitive impairment and the level of disability in patients with a history of cerebrovascular events.</w:t>
            </w:r>
          </w:p>
          <w:p w14:paraId="14E4E29D" w14:textId="001DCEFB" w:rsidR="00055418" w:rsidRPr="00055418" w:rsidRDefault="00055418" w:rsidP="00055418">
            <w:pPr>
              <w:jc w:val="both"/>
              <w:rPr>
                <w:rFonts w:ascii="Arial" w:hAnsi="Arial" w:cs="Arial"/>
                <w:lang w:val="en-US"/>
              </w:rPr>
            </w:pPr>
            <w:r w:rsidRPr="00423DD5">
              <w:rPr>
                <w:rFonts w:ascii="Arial" w:hAnsi="Arial" w:cs="Arial"/>
                <w:b/>
                <w:bCs/>
                <w:lang w:val="en-US"/>
              </w:rPr>
              <w:t>Methods</w:t>
            </w:r>
            <w:r w:rsidRPr="00055418">
              <w:rPr>
                <w:rFonts w:ascii="Arial" w:hAnsi="Arial" w:cs="Arial"/>
                <w:lang w:val="en-US"/>
              </w:rPr>
              <w:t xml:space="preserve">: An observational, analytical, cross-sectional, and prospective study was conducted on a sample of 115 patients selected through non-probabilistic convenience sampling, which was non-randomized. Patients diagnosed with cerebrovascular disease, affiliated with </w:t>
            </w:r>
            <w:r w:rsidR="00200FC2">
              <w:rPr>
                <w:rFonts w:ascii="Arial" w:hAnsi="Arial" w:cs="Arial"/>
                <w:lang w:val="en-US"/>
              </w:rPr>
              <w:t>UMF</w:t>
            </w:r>
            <w:r w:rsidRPr="00055418">
              <w:rPr>
                <w:rFonts w:ascii="Arial" w:hAnsi="Arial" w:cs="Arial"/>
                <w:lang w:val="en-US"/>
              </w:rPr>
              <w:t xml:space="preserve"> 62, of both sexes, who had provided informed consent, were included. A descriptive analysis of qualitative and quantitative variables was performed, along with an inferential analysis of cognitive impairment and functional disability variables using the Mann-Whitney U test, with a significance level set at p=&lt;0.05.</w:t>
            </w:r>
          </w:p>
          <w:p w14:paraId="59666C66" w14:textId="70BDD5B6" w:rsidR="00055418" w:rsidRPr="00055418" w:rsidRDefault="00055418" w:rsidP="00055418">
            <w:pPr>
              <w:jc w:val="both"/>
              <w:rPr>
                <w:rFonts w:ascii="Arial" w:hAnsi="Arial" w:cs="Arial"/>
                <w:lang w:val="en-US"/>
              </w:rPr>
            </w:pPr>
            <w:r w:rsidRPr="00423DD5">
              <w:rPr>
                <w:rFonts w:ascii="Arial" w:hAnsi="Arial" w:cs="Arial"/>
                <w:b/>
                <w:bCs/>
                <w:lang w:val="en-US"/>
              </w:rPr>
              <w:t>Results</w:t>
            </w:r>
            <w:r w:rsidRPr="00055418">
              <w:rPr>
                <w:rFonts w:ascii="Arial" w:hAnsi="Arial" w:cs="Arial"/>
                <w:lang w:val="en-US"/>
              </w:rPr>
              <w:t>: The presence of cognitive impairment resulted in a low level of physical dependence in 27.8% (32 patients), moderate in 18.3% (21 patients), severe in 3.5% (4 patients), and total in 6.1% (7 patients), compared to subjects without cognitive impairment in patients with a history of cerebrovascular disease. Additionally, 2.6% (3 patients) showed independence.</w:t>
            </w:r>
          </w:p>
          <w:p w14:paraId="30C554AE" w14:textId="3044FE84" w:rsidR="0034384A" w:rsidRDefault="00055418" w:rsidP="00055418">
            <w:pPr>
              <w:spacing w:line="276" w:lineRule="auto"/>
              <w:jc w:val="both"/>
              <w:rPr>
                <w:rFonts w:ascii="Arial" w:hAnsi="Arial" w:cs="Arial"/>
                <w:lang w:val="en-US"/>
              </w:rPr>
            </w:pPr>
            <w:r w:rsidRPr="00423DD5">
              <w:rPr>
                <w:rFonts w:ascii="Arial" w:hAnsi="Arial" w:cs="Arial"/>
                <w:b/>
                <w:bCs/>
                <w:lang w:val="en-US"/>
              </w:rPr>
              <w:t>Conclusions</w:t>
            </w:r>
            <w:r w:rsidRPr="00055418">
              <w:rPr>
                <w:rFonts w:ascii="Arial" w:hAnsi="Arial" w:cs="Arial"/>
                <w:lang w:val="en-US"/>
              </w:rPr>
              <w:t>: It was concluded that the presence of diabetes mellitus and arterial hypertension are associated with a higher risk of presenting a degree of physical dependence secondary to cerebrovascular disease associated with cognitive impairment.</w:t>
            </w:r>
          </w:p>
          <w:p w14:paraId="619C5C33" w14:textId="77777777" w:rsidR="0034384A" w:rsidRDefault="0034384A" w:rsidP="0034384A">
            <w:pPr>
              <w:spacing w:line="276" w:lineRule="auto"/>
              <w:jc w:val="both"/>
              <w:rPr>
                <w:rFonts w:ascii="Arial" w:hAnsi="Arial" w:cs="Arial"/>
                <w:lang w:val="en-US"/>
              </w:rPr>
            </w:pPr>
          </w:p>
          <w:p w14:paraId="7BD13174" w14:textId="33BFE463" w:rsidR="00221512" w:rsidRPr="00221512" w:rsidRDefault="00221512" w:rsidP="00221512">
            <w:pPr>
              <w:spacing w:line="276" w:lineRule="auto"/>
              <w:rPr>
                <w:sz w:val="20"/>
                <w:lang w:val="en-US"/>
              </w:rPr>
            </w:pPr>
            <w:r w:rsidRPr="00EC0E85">
              <w:rPr>
                <w:rFonts w:cstheme="minorHAnsi"/>
                <w:b/>
                <w:bCs/>
                <w:lang w:val="en-US"/>
              </w:rPr>
              <w:t>KEYWORDS:</w:t>
            </w:r>
            <w:r w:rsidRPr="00EC0E85">
              <w:rPr>
                <w:rFonts w:cstheme="minorHAnsi"/>
                <w:lang w:val="en-US"/>
              </w:rPr>
              <w:t xml:space="preserve"> </w:t>
            </w:r>
            <w:r w:rsidR="00FC6568">
              <w:rPr>
                <w:rFonts w:cstheme="minorHAnsi"/>
                <w:lang w:val="en-US"/>
              </w:rPr>
              <w:t>c</w:t>
            </w:r>
            <w:r w:rsidR="00563C52" w:rsidRPr="002A389E">
              <w:rPr>
                <w:rFonts w:ascii="Arial" w:hAnsi="Arial" w:cs="Arial"/>
                <w:lang w:val="en-US"/>
              </w:rPr>
              <w:t>ognitive impairment</w:t>
            </w:r>
            <w:r w:rsidR="00563C52">
              <w:rPr>
                <w:rFonts w:ascii="Arial" w:hAnsi="Arial" w:cs="Arial"/>
                <w:lang w:val="en-US"/>
              </w:rPr>
              <w:t>;</w:t>
            </w:r>
            <w:r w:rsidR="00563C52" w:rsidRPr="002A389E">
              <w:rPr>
                <w:rFonts w:ascii="Arial" w:hAnsi="Arial" w:cs="Arial"/>
                <w:lang w:val="en-US"/>
              </w:rPr>
              <w:t xml:space="preserve"> </w:t>
            </w:r>
            <w:r w:rsidR="00563C52">
              <w:rPr>
                <w:rFonts w:ascii="Arial" w:hAnsi="Arial" w:cs="Arial"/>
                <w:lang w:val="en-US"/>
              </w:rPr>
              <w:t>f</w:t>
            </w:r>
            <w:r w:rsidR="00563C52" w:rsidRPr="002A389E">
              <w:rPr>
                <w:rFonts w:ascii="Arial" w:hAnsi="Arial" w:cs="Arial"/>
                <w:lang w:val="en-US"/>
              </w:rPr>
              <w:t>unctional disability</w:t>
            </w:r>
            <w:r w:rsidR="00563C52">
              <w:rPr>
                <w:rFonts w:ascii="Arial" w:hAnsi="Arial" w:cs="Arial"/>
                <w:lang w:val="en-US"/>
              </w:rPr>
              <w:t>;</w:t>
            </w:r>
            <w:r w:rsidR="00563C52" w:rsidRPr="002A389E">
              <w:rPr>
                <w:rFonts w:ascii="Arial" w:hAnsi="Arial" w:cs="Arial"/>
                <w:lang w:val="en-US"/>
              </w:rPr>
              <w:t xml:space="preserve"> </w:t>
            </w:r>
            <w:r w:rsidR="00563C52">
              <w:rPr>
                <w:rFonts w:ascii="Arial" w:hAnsi="Arial" w:cs="Arial"/>
                <w:lang w:val="en-US"/>
              </w:rPr>
              <w:t>c</w:t>
            </w:r>
            <w:r w:rsidR="00563C52" w:rsidRPr="002A389E">
              <w:rPr>
                <w:rFonts w:ascii="Arial" w:hAnsi="Arial" w:cs="Arial"/>
                <w:lang w:val="en-US"/>
              </w:rPr>
              <w:t>erebral vascular event</w:t>
            </w:r>
            <w:r w:rsidR="008B55A7" w:rsidRPr="008B55A7">
              <w:rPr>
                <w:rFonts w:ascii="Arial" w:hAnsi="Arial" w:cs="Arial"/>
                <w:lang w:val="en-US"/>
              </w:rPr>
              <w:t>.</w:t>
            </w:r>
          </w:p>
        </w:tc>
      </w:tr>
      <w:tr w:rsidR="00221512" w:rsidRPr="00A5533B" w14:paraId="4ECC3E1F" w14:textId="77777777" w:rsidTr="008B55A7">
        <w:trPr>
          <w:trHeight w:val="333"/>
          <w:jc w:val="center"/>
        </w:trPr>
        <w:tc>
          <w:tcPr>
            <w:tcW w:w="9426" w:type="dxa"/>
            <w:gridSpan w:val="7"/>
            <w:shd w:val="clear" w:color="auto" w:fill="FFFFFF" w:themeFill="background1"/>
          </w:tcPr>
          <w:p w14:paraId="266D4CE7" w14:textId="77777777" w:rsidR="00D730DD" w:rsidRPr="005C4E32" w:rsidRDefault="00D730DD" w:rsidP="00D730DD">
            <w:pPr>
              <w:pStyle w:val="NormalWeb"/>
              <w:spacing w:before="0" w:beforeAutospacing="0" w:after="0" w:afterAutospacing="0"/>
              <w:jc w:val="both"/>
              <w:rPr>
                <w:rFonts w:ascii="Arial" w:hAnsi="Arial" w:cs="Arial"/>
                <w:sz w:val="14"/>
                <w:szCs w:val="14"/>
                <w:vertAlign w:val="superscript"/>
              </w:rPr>
            </w:pPr>
          </w:p>
          <w:p w14:paraId="11B0EAEE" w14:textId="74E8BCD8" w:rsidR="00611782" w:rsidRPr="00611782" w:rsidRDefault="00221512" w:rsidP="00D730DD">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r w:rsidR="00611782" w:rsidRPr="00611782">
              <w:rPr>
                <w:rFonts w:ascii="Arial" w:eastAsiaTheme="minorHAnsi" w:hAnsi="Arial" w:cs="Arial"/>
                <w:sz w:val="14"/>
                <w:szCs w:val="14"/>
                <w:lang w:val="es-ES"/>
              </w:rPr>
              <w:t xml:space="preserve">Médica residente de Medicina Familiar, Universidad </w:t>
            </w:r>
            <w:r w:rsidR="001B7A37">
              <w:rPr>
                <w:rFonts w:ascii="Arial" w:eastAsiaTheme="minorHAnsi" w:hAnsi="Arial" w:cs="Arial"/>
                <w:sz w:val="14"/>
                <w:szCs w:val="14"/>
                <w:lang w:val="es-ES"/>
              </w:rPr>
              <w:t>N</w:t>
            </w:r>
            <w:r w:rsidR="008D6242">
              <w:rPr>
                <w:rFonts w:ascii="Arial" w:eastAsiaTheme="minorHAnsi" w:hAnsi="Arial" w:cs="Arial"/>
                <w:sz w:val="14"/>
                <w:szCs w:val="14"/>
                <w:lang w:val="es-ES"/>
              </w:rPr>
              <w:t xml:space="preserve">acional </w:t>
            </w:r>
            <w:r w:rsidR="00611782" w:rsidRPr="00611782">
              <w:rPr>
                <w:rFonts w:ascii="Arial" w:eastAsiaTheme="minorHAnsi" w:hAnsi="Arial" w:cs="Arial"/>
                <w:sz w:val="14"/>
                <w:szCs w:val="14"/>
                <w:lang w:val="es-ES"/>
              </w:rPr>
              <w:t>Autónoma de México (U</w:t>
            </w:r>
            <w:r w:rsidR="00DE1917">
              <w:rPr>
                <w:rFonts w:ascii="Arial" w:eastAsiaTheme="minorHAnsi" w:hAnsi="Arial" w:cs="Arial"/>
                <w:sz w:val="14"/>
                <w:szCs w:val="14"/>
                <w:lang w:val="es-ES"/>
              </w:rPr>
              <w:t>NAM</w:t>
            </w:r>
            <w:r w:rsidR="00611782" w:rsidRPr="00611782">
              <w:rPr>
                <w:rFonts w:ascii="Arial" w:eastAsiaTheme="minorHAnsi" w:hAnsi="Arial" w:cs="Arial"/>
                <w:sz w:val="14"/>
                <w:szCs w:val="14"/>
                <w:lang w:val="es-ES"/>
              </w:rPr>
              <w:t xml:space="preserve">). Correo: </w:t>
            </w:r>
            <w:hyperlink r:id="rId16" w:history="1">
              <w:r w:rsidR="005C4E32" w:rsidRPr="00964D72">
                <w:rPr>
                  <w:rStyle w:val="Hipervnculo"/>
                  <w:rFonts w:ascii="Arial" w:eastAsiaTheme="minorHAnsi" w:hAnsi="Arial" w:cs="Arial"/>
                  <w:sz w:val="14"/>
                  <w:szCs w:val="14"/>
                  <w:lang w:val="es-ES"/>
                </w:rPr>
                <w:t>claudiaguerra2801@gmail.com</w:t>
              </w:r>
            </w:hyperlink>
            <w:r w:rsidR="005C4E32">
              <w:rPr>
                <w:rFonts w:ascii="Arial" w:eastAsiaTheme="minorHAnsi" w:hAnsi="Arial" w:cs="Arial"/>
                <w:sz w:val="14"/>
                <w:szCs w:val="14"/>
                <w:lang w:val="es-ES"/>
              </w:rPr>
              <w:t xml:space="preserve"> </w:t>
            </w:r>
          </w:p>
          <w:p w14:paraId="397B6B32" w14:textId="42CD6B67" w:rsidR="00330A98" w:rsidRPr="008B55A7" w:rsidRDefault="00611782" w:rsidP="00611782">
            <w:pPr>
              <w:pStyle w:val="NormalWeb"/>
              <w:spacing w:before="0" w:beforeAutospacing="0" w:after="0" w:afterAutospacing="0"/>
              <w:jc w:val="both"/>
              <w:rPr>
                <w:rFonts w:ascii="Arial" w:eastAsiaTheme="minorHAnsi" w:hAnsi="Arial" w:cs="Arial"/>
                <w:sz w:val="14"/>
                <w:szCs w:val="14"/>
                <w:lang w:val="es-ES"/>
              </w:rPr>
            </w:pPr>
            <w:r w:rsidRPr="00611782">
              <w:rPr>
                <w:rFonts w:ascii="Arial" w:eastAsiaTheme="minorHAnsi" w:hAnsi="Arial" w:cs="Arial"/>
                <w:sz w:val="14"/>
                <w:szCs w:val="14"/>
                <w:vertAlign w:val="superscript"/>
                <w:lang w:val="es-ES"/>
              </w:rPr>
              <w:t>2</w:t>
            </w:r>
            <w:r w:rsidRPr="00611782">
              <w:rPr>
                <w:rFonts w:ascii="Arial" w:eastAsiaTheme="minorHAnsi" w:hAnsi="Arial" w:cs="Arial"/>
                <w:sz w:val="14"/>
                <w:szCs w:val="14"/>
                <w:lang w:val="es-ES"/>
              </w:rPr>
              <w:t xml:space="preserve"> Médico especialista en Medicina Familiar, graduado de la </w:t>
            </w:r>
            <w:r w:rsidR="00343947" w:rsidRPr="00343947">
              <w:rPr>
                <w:rFonts w:ascii="Arial" w:eastAsiaTheme="minorHAnsi" w:hAnsi="Arial" w:cs="Arial"/>
                <w:sz w:val="14"/>
                <w:szCs w:val="14"/>
                <w:lang w:val="es-ES"/>
              </w:rPr>
              <w:t>Universidad Autónoma de Querétaro (UAQ)</w:t>
            </w:r>
            <w:r w:rsidRPr="00611782">
              <w:rPr>
                <w:rFonts w:ascii="Arial" w:eastAsiaTheme="minorHAnsi" w:hAnsi="Arial" w:cs="Arial"/>
                <w:sz w:val="14"/>
                <w:szCs w:val="14"/>
                <w:lang w:val="es-ES"/>
              </w:rPr>
              <w:t xml:space="preserve">. Correo: </w:t>
            </w:r>
            <w:hyperlink r:id="rId17" w:history="1">
              <w:r w:rsidR="00413875" w:rsidRPr="00964D72">
                <w:rPr>
                  <w:rStyle w:val="Hipervnculo"/>
                  <w:rFonts w:ascii="Arial" w:eastAsiaTheme="minorHAnsi" w:hAnsi="Arial" w:cs="Arial"/>
                  <w:sz w:val="14"/>
                  <w:szCs w:val="14"/>
                  <w:lang w:val="es-ES"/>
                </w:rPr>
                <w:t>rubenum16@gmail.com</w:t>
              </w:r>
            </w:hyperlink>
            <w:r w:rsidR="00413875">
              <w:rPr>
                <w:rFonts w:ascii="Arial" w:eastAsiaTheme="minorHAnsi" w:hAnsi="Arial" w:cs="Arial"/>
                <w:sz w:val="14"/>
                <w:szCs w:val="14"/>
                <w:lang w:val="es-ES"/>
              </w:rPr>
              <w:t xml:space="preserve"> </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B56354">
          <w:headerReference w:type="default" r:id="rId18"/>
          <w:footerReference w:type="default" r:id="rId19"/>
          <w:footerReference w:type="first" r:id="rId20"/>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3CA5A668" w14:textId="1E94D47F" w:rsidR="003E72EE" w:rsidRPr="003E72EE" w:rsidRDefault="003E72EE" w:rsidP="003E72EE">
      <w:pPr>
        <w:jc w:val="both"/>
        <w:rPr>
          <w:lang w:val="es-CR"/>
        </w:rPr>
      </w:pPr>
      <w:r w:rsidRPr="003E72EE">
        <w:rPr>
          <w:lang w:val="es-CR"/>
        </w:rPr>
        <w:t xml:space="preserve">A nivel mundial, la enfermedad vascular cerebral (EVC) se destaca como una de las principales causas de morbilidad, mortalidad y discapacidad. Es la segunda causa de muerte y discapacidad tanto en países latinoamericanos como en todo el mundo, conllevando graves repercusiones personales, familiares y sociales. Este trastorno representa un importante desafío de salud pública, generando costos económicos significativos para la atención de sus morbilidades asociadas. Si consideramos los años de vida ajustados por discapacidad, la enfermedad vascular cerebral y las demencias ocupan el primero y tercer lugar respectivamente a nivel global. Esto resalta su relevancia como enfermedades significativas que requieren la implementación temprana de medidas preventivas y terapéuticas. La rehabilitación de la enfermedad vascular cerebral es un proceso complejo que demanda una </w:t>
      </w:r>
      <w:r w:rsidRPr="003E72EE">
        <w:rPr>
          <w:lang w:val="es-CR"/>
        </w:rPr>
        <w:t>atención médica multidisciplinaria por parte de profesionales especializados.</w:t>
      </w:r>
    </w:p>
    <w:p w14:paraId="6E8DC595" w14:textId="010B7859" w:rsidR="003E72EE" w:rsidRPr="003E72EE" w:rsidRDefault="003E72EE" w:rsidP="003E72EE">
      <w:pPr>
        <w:jc w:val="both"/>
        <w:rPr>
          <w:lang w:val="es-CR"/>
        </w:rPr>
      </w:pPr>
      <w:r w:rsidRPr="003E72EE">
        <w:rPr>
          <w:lang w:val="es-CR"/>
        </w:rPr>
        <w:t xml:space="preserve">La enfermedad vascular cerebral de tipo isquémico es la forma más común de presentación, sin embargo, la variante hemorrágica contribuye a más de la mitad de los años de vida ajustados por discapacidad perdidos. Esta patología se caracteriza por una alteración en las neuronas, siendo su rasgo distintivo la disfunción focal del tejido cerebral debido a un desequilibrio entre el suministro y las demandas de oxígeno y otros sustratos. Se clasifica según su etiología en isquémica, hemorrágica y trombosis venosa cerebral. La enfermedad vascular cerebral isquémica se produce por la obstrucción de un vaso arterial, provocando daños por isquemia, y representa aproximadamente el 80% de todos los casos. A su vez, se subdivide en diferentes tipos según la causa, como infarto cerebral de causa ateroesclerótica, cardioembólica, enfermedad de pequeños </w:t>
      </w:r>
      <w:r w:rsidRPr="003E72EE">
        <w:rPr>
          <w:lang w:val="es-CR"/>
        </w:rPr>
        <w:lastRenderedPageBreak/>
        <w:t>vasos, o de origen indeterminado. En casos donde la obstrucción es transitoria y se resuelve por sí sola, pueden presentarse manifestaciones momentáneas, lo que se conoce como ataque isquémico transitorio. Por otro lado, la enfermedad vascular cerebral de origen hemorrágico implica la ruptura de un vaso sanguíneo, dando lugar a una acumulación de sangre, ya sea dentro del parénquima cerebral o en el espacio subaracnoideo, debido a causas como la hipertensión, diátesis hemorrágica o malformaciones vasculares.</w:t>
      </w:r>
    </w:p>
    <w:p w14:paraId="23A71390" w14:textId="2769D2CD" w:rsidR="003E72EE" w:rsidRPr="003E72EE" w:rsidRDefault="003E72EE" w:rsidP="003E72EE">
      <w:pPr>
        <w:jc w:val="both"/>
        <w:rPr>
          <w:lang w:val="es-CR"/>
        </w:rPr>
      </w:pPr>
      <w:r w:rsidRPr="003E72EE">
        <w:rPr>
          <w:lang w:val="es-CR"/>
        </w:rPr>
        <w:t>Los factores de riesgo no modificables incluyen polimorfismos genéticos, edad, sexo, raza o etnicidad, y antecedentes familiares. Además, ciertas comorbilidades como la hipertensión, diabetes, hipercolesterolemia, obesidad y depresión se asocian con un mayor riesgo de enfermedad vascular cerebral. Otros factores de riesgo modificables incluyen el aislamiento social y la inactividad cognitiva.</w:t>
      </w:r>
    </w:p>
    <w:p w14:paraId="13D350BC" w14:textId="46C593B2" w:rsidR="003E72EE" w:rsidRPr="003E72EE" w:rsidRDefault="003E72EE" w:rsidP="003E72EE">
      <w:pPr>
        <w:jc w:val="both"/>
        <w:rPr>
          <w:lang w:val="es-CR"/>
        </w:rPr>
      </w:pPr>
      <w:r w:rsidRPr="003E72EE">
        <w:rPr>
          <w:lang w:val="es-CR"/>
        </w:rPr>
        <w:t>Los signos y síntomas varían según la localización y extensión de la lesión, afectando diferentes territorios vasculares. El diagnóstico se realiza clínicamente, y los estudios de imagen se utilizan para evaluar el grado de lesión, detectar hemorragias e identificar el territorio afectado. Tanto en el ámbito extrahospitalario como hospitalario, se emplean diversas escalas y criterios para la evaluación y diagnóstico preciso.</w:t>
      </w:r>
    </w:p>
    <w:p w14:paraId="2CCD0188" w14:textId="77777777" w:rsidR="003E72EE" w:rsidRPr="003E72EE" w:rsidRDefault="003E72EE" w:rsidP="003E72EE">
      <w:pPr>
        <w:jc w:val="both"/>
        <w:rPr>
          <w:lang w:val="es-CR"/>
        </w:rPr>
      </w:pPr>
      <w:r w:rsidRPr="003E72EE">
        <w:rPr>
          <w:lang w:val="es-CR"/>
        </w:rPr>
        <w:t>El manejo inicial implica estabilizar las funciones vitales, seguido de una evaluación neurológica y de las comorbilidades. El diagnóstico preciso se logra mediante una exploración física adecuada y el uso racional de estudios de imagen. Los estudios de imagen más útiles para confirmar la sospecha diagnóstica son la tomografía axial computarizada (TC), resonancia magnética cerebral (RM) y tomografía con perfusión.</w:t>
      </w:r>
    </w:p>
    <w:p w14:paraId="4FC091F3" w14:textId="77777777" w:rsidR="003E72EE" w:rsidRPr="003E72EE" w:rsidRDefault="003E72EE" w:rsidP="003E72EE">
      <w:pPr>
        <w:jc w:val="both"/>
        <w:rPr>
          <w:lang w:val="es-CR"/>
        </w:rPr>
      </w:pPr>
    </w:p>
    <w:p w14:paraId="4758DA86" w14:textId="7941C34C" w:rsidR="003E72EE" w:rsidRPr="003E72EE" w:rsidRDefault="003E72EE" w:rsidP="003E72EE">
      <w:pPr>
        <w:jc w:val="both"/>
        <w:rPr>
          <w:lang w:val="es-CR"/>
        </w:rPr>
      </w:pPr>
      <w:r w:rsidRPr="003E72EE">
        <w:rPr>
          <w:lang w:val="es-CR"/>
        </w:rPr>
        <w:t>El tratamiento específico en la fase aguda de la enfermedad vascular cerebral incluye medidas de reperfusión, recanalización de arterias en casos de EVC isquémico, drenaje del hematoma en casos de EVC hemorrágico y manejo de la presión arterial. También se considera el tratamiento quirúrgico o endovascular de aneurismas cerebrales y malformaciones vasculares.</w:t>
      </w:r>
    </w:p>
    <w:p w14:paraId="1C6B4823" w14:textId="2333D653" w:rsidR="003E72EE" w:rsidRPr="003E72EE" w:rsidRDefault="003E72EE" w:rsidP="003E72EE">
      <w:pPr>
        <w:jc w:val="both"/>
        <w:rPr>
          <w:lang w:val="es-CR"/>
        </w:rPr>
      </w:pPr>
      <w:r w:rsidRPr="003E72EE">
        <w:rPr>
          <w:lang w:val="es-CR"/>
        </w:rPr>
        <w:t>El deterioro cognitivo vascular (DCV) se refiere a la disminución de la función cognitiva asociada a lesiones cerebrovasculares, que puede manifestarse como demencia o deterioro cognitivo leve (DCL).</w:t>
      </w:r>
    </w:p>
    <w:p w14:paraId="63E90954" w14:textId="45E99875" w:rsidR="008B55A7" w:rsidRPr="008B55A7" w:rsidRDefault="003E72EE" w:rsidP="003E72EE">
      <w:pPr>
        <w:jc w:val="both"/>
        <w:rPr>
          <w:lang w:val="es-CR"/>
        </w:rPr>
      </w:pPr>
      <w:r w:rsidRPr="003E72EE">
        <w:rPr>
          <w:lang w:val="es-CR"/>
        </w:rPr>
        <w:t>La rehabilitación juega un papel fundamental en el manejo tanto agudo como crónico de la enfermedad vascular cerebral, con el objetivo de prevenir complicaciones asociadas a la inmovilidad prolongada, mejorar habilidades motoras, sensoriales, comunicativas y cognitivas, fomentar la independencia en las actividades de la vida diaria y promover la participación social y laboral, con el fin último de mejorar la calidad de vida del paciente.</w:t>
      </w:r>
    </w:p>
    <w:p w14:paraId="7E17CF20" w14:textId="77777777" w:rsidR="008B55A7" w:rsidRPr="008B55A7" w:rsidRDefault="008B55A7" w:rsidP="008B55A7">
      <w:pPr>
        <w:jc w:val="both"/>
        <w:rPr>
          <w:lang w:val="es-CR"/>
        </w:rPr>
      </w:pPr>
    </w:p>
    <w:p w14:paraId="7272093D" w14:textId="7BC23728" w:rsidR="008B55A7" w:rsidRPr="008B55A7" w:rsidRDefault="008B55A7" w:rsidP="008B55A7">
      <w:pPr>
        <w:pStyle w:val="Ttulo"/>
        <w:rPr>
          <w:szCs w:val="22"/>
        </w:rPr>
      </w:pPr>
      <w:r w:rsidRPr="008B55A7">
        <w:t>M</w:t>
      </w:r>
      <w:r w:rsidR="003E72EE">
        <w:t>É</w:t>
      </w:r>
      <w:r w:rsidRPr="008B55A7">
        <w:t>TODO</w:t>
      </w:r>
    </w:p>
    <w:p w14:paraId="729F400F" w14:textId="64CF3E0A" w:rsidR="00AD0626" w:rsidRPr="00AD0626" w:rsidRDefault="00AD0626" w:rsidP="00AD0626">
      <w:pPr>
        <w:jc w:val="both"/>
        <w:rPr>
          <w:lang w:val="es-CR"/>
        </w:rPr>
      </w:pPr>
      <w:r w:rsidRPr="00AD0626">
        <w:rPr>
          <w:lang w:val="es-CR"/>
        </w:rPr>
        <w:t xml:space="preserve">Se llevó a cabo un estudio observacional, analítico, transversal y prospectivo en la Unidad de Medicina Familiar número 62 del Instituto Mexicano del Seguro Social (IMSS), ubicada en el municipio de Cuautitlán de Romero Rubio, Estado de México. La muestra fue seleccionada mediante un muestreo no probabilístico no aleatorizado por conveniencia. La población de estudio consistió en 163 pacientes con diagnóstico de enfermedad vascular cerebral. Antes de iniciar el proyecto de investigación, se obtuvo la autorización del comité de investigación y bioética de la unidad, así como del registro institucional, con número </w:t>
      </w:r>
      <w:r w:rsidRPr="00AD0626">
        <w:rPr>
          <w:lang w:val="es-CR"/>
        </w:rPr>
        <w:lastRenderedPageBreak/>
        <w:t>de registro R-2022-1406-029. Los procedimientos éticos del proyecto se llevaron a cabo de acuerdo con los reglamentos y normativas vigentes en materia de investigación.</w:t>
      </w:r>
    </w:p>
    <w:p w14:paraId="4475A676" w14:textId="719C3D9C" w:rsidR="008B55A7" w:rsidRPr="008B55A7" w:rsidRDefault="00AD0626" w:rsidP="00AD0626">
      <w:pPr>
        <w:jc w:val="both"/>
        <w:rPr>
          <w:lang w:val="es-CR"/>
        </w:rPr>
      </w:pPr>
      <w:r w:rsidRPr="00AD0626">
        <w:rPr>
          <w:lang w:val="es-CR"/>
        </w:rPr>
        <w:t xml:space="preserve">Se reclutó una muestra de 115 pacientes que cumplían con los criterios del estudio. Se los citó con el propósito de explicarles el estudio y obtener su consentimiento informado, y en una segunda cita se les aplicaron los instrumentos de evaluación, incluyendo la ficha de identificación, el índice de Barthel y el mini examen del estado mental. Una vez recopilados los datos, se creó una base de datos en Excel. En una primera etapa, se realizó un análisis descriptivo, seguido por un análisis inferencial de las variables de deterioro cognitivo y discapacidad funcional mediante la prueba de U de Mann-Whitney, con un nivel de significancia establecido en </w:t>
      </w:r>
      <w:r w:rsidR="00954AA9">
        <w:rPr>
          <w:lang w:val="es-CR"/>
        </w:rPr>
        <w:t>p</w:t>
      </w:r>
      <w:r w:rsidRPr="00AD0626">
        <w:rPr>
          <w:lang w:val="es-CR"/>
        </w:rPr>
        <w:t>&lt;0.05, utilizando el programa SPSS® versión 20.</w:t>
      </w:r>
    </w:p>
    <w:p w14:paraId="6CECED09" w14:textId="77777777" w:rsidR="00954AA9" w:rsidRPr="008B55A7" w:rsidRDefault="00954AA9" w:rsidP="00954AA9">
      <w:pPr>
        <w:jc w:val="both"/>
        <w:rPr>
          <w:lang w:val="es-CR"/>
        </w:rPr>
      </w:pPr>
    </w:p>
    <w:p w14:paraId="584E55C6" w14:textId="7B763ABF" w:rsidR="00954AA9" w:rsidRPr="008B55A7" w:rsidRDefault="00954AA9" w:rsidP="00954AA9">
      <w:pPr>
        <w:pStyle w:val="Ttulo"/>
        <w:rPr>
          <w:szCs w:val="22"/>
        </w:rPr>
      </w:pPr>
      <w:r>
        <w:t>RESULTADOS</w:t>
      </w:r>
    </w:p>
    <w:p w14:paraId="2B7E865E" w14:textId="4DBBB9D1" w:rsidR="009D51D3" w:rsidRPr="009D51D3" w:rsidRDefault="009D51D3" w:rsidP="009D51D3">
      <w:pPr>
        <w:jc w:val="both"/>
        <w:rPr>
          <w:lang w:val="es-CR"/>
        </w:rPr>
      </w:pPr>
      <w:r w:rsidRPr="009D51D3">
        <w:rPr>
          <w:lang w:val="es-CR"/>
        </w:rPr>
        <w:t xml:space="preserve">En cuanto a la asociación entre el deterioro cognitivo y el nivel de discapacidad física en pacientes con antecedentes de Evento Vascular Cerebral (EVC), en la </w:t>
      </w:r>
      <w:r w:rsidR="00200FC2">
        <w:rPr>
          <w:lang w:val="es-CR"/>
        </w:rPr>
        <w:t>UMF</w:t>
      </w:r>
      <w:r w:rsidRPr="009D51D3">
        <w:rPr>
          <w:lang w:val="es-CR"/>
        </w:rPr>
        <w:t xml:space="preserve"> 62 se observó que el 6.1% (7 pacientes) presentó dependencia total, el 3.5% (4 pacientes) presentó dependencia severa, el 18.3% (21 pacientes) presentó dependencia moderada, el 27.8% (32 pacientes) presentó dependencia leve y el 2.6% (3 pacientes) mostró independencia. En comparación con pacientes con antecedentes de EVC en la </w:t>
      </w:r>
      <w:r w:rsidR="00200FC2">
        <w:rPr>
          <w:lang w:val="es-CR"/>
        </w:rPr>
        <w:t>UMF</w:t>
      </w:r>
      <w:r w:rsidRPr="009D51D3">
        <w:rPr>
          <w:lang w:val="es-CR"/>
        </w:rPr>
        <w:t xml:space="preserve"> 62 sin deterioro cognitivo presente, el 0.9% (1 paciente) presentó dependencia total, el 13.9% (16 pacientes) mostró dependencia leve y el 27% (31 pacientes) mostró independencia. Por lo tanto, se observa que la presencia de deterioro cognitivo en pacientes con antecedentes de </w:t>
      </w:r>
      <w:r w:rsidRPr="009D51D3">
        <w:rPr>
          <w:lang w:val="es-CR"/>
        </w:rPr>
        <w:t>EVC se relaciona con una mayor discapacidad física en diversos grados.</w:t>
      </w:r>
    </w:p>
    <w:p w14:paraId="2FF57F31" w14:textId="77777777" w:rsidR="009D51D3" w:rsidRPr="009D51D3" w:rsidRDefault="009D51D3" w:rsidP="009D51D3">
      <w:pPr>
        <w:jc w:val="both"/>
        <w:rPr>
          <w:lang w:val="es-CR"/>
        </w:rPr>
      </w:pPr>
    </w:p>
    <w:p w14:paraId="19086075" w14:textId="61F5393F" w:rsidR="009D51D3" w:rsidRPr="009D51D3" w:rsidRDefault="009D51D3" w:rsidP="009D51D3">
      <w:pPr>
        <w:jc w:val="both"/>
        <w:rPr>
          <w:lang w:val="es-CR"/>
        </w:rPr>
      </w:pPr>
      <w:r w:rsidRPr="009D51D3">
        <w:rPr>
          <w:lang w:val="es-CR"/>
        </w:rPr>
        <w:t>La comparación entre las variables arrojó un valor de (</w:t>
      </w:r>
      <w:r>
        <w:rPr>
          <w:lang w:val="es-CR"/>
        </w:rPr>
        <w:t>p</w:t>
      </w:r>
      <w:r w:rsidRPr="009D51D3">
        <w:rPr>
          <w:lang w:val="es-CR"/>
        </w:rPr>
        <w:t xml:space="preserve">=.00), lo que indica una asociación significativa entre el deterioro cognitivo y la discapacidad física (ver </w:t>
      </w:r>
      <w:r w:rsidR="00AD45A8">
        <w:rPr>
          <w:lang w:val="es-CR"/>
        </w:rPr>
        <w:t>t</w:t>
      </w:r>
      <w:r w:rsidRPr="009D51D3">
        <w:rPr>
          <w:lang w:val="es-CR"/>
        </w:rPr>
        <w:t xml:space="preserve">abla 1). Según el estudio, la presencia de deterioro cognitivo en pacientes con antecedentes de EVC fue del 57.4% (66 pacientes), mientras que el 42.6% (49 pacientes) no presentó deterioro cognitivo (ver </w:t>
      </w:r>
      <w:r w:rsidR="00AD45A8">
        <w:rPr>
          <w:lang w:val="es-CR"/>
        </w:rPr>
        <w:t>t</w:t>
      </w:r>
      <w:r w:rsidRPr="009D51D3">
        <w:rPr>
          <w:lang w:val="es-CR"/>
        </w:rPr>
        <w:t xml:space="preserve">abla 2). En cuanto a las enfermedades asociadas, se encontró que el 79.13% (91 pacientes) de los pacientes con antecedentes de EVC padecían diabetes mellitus tipo 2, en comparación con el 20.87% (24 pacientes) que no presentaban la enfermedad (ver </w:t>
      </w:r>
      <w:r w:rsidR="00AD45A8">
        <w:rPr>
          <w:lang w:val="es-CR"/>
        </w:rPr>
        <w:t>t</w:t>
      </w:r>
      <w:r w:rsidRPr="009D51D3">
        <w:rPr>
          <w:lang w:val="es-CR"/>
        </w:rPr>
        <w:t>abla 3).</w:t>
      </w:r>
    </w:p>
    <w:p w14:paraId="6C571055" w14:textId="7D1F1B51" w:rsidR="009D51D3" w:rsidRPr="009D51D3" w:rsidRDefault="009D51D3" w:rsidP="009D51D3">
      <w:pPr>
        <w:jc w:val="both"/>
        <w:rPr>
          <w:lang w:val="es-CR"/>
        </w:rPr>
      </w:pPr>
      <w:r w:rsidRPr="009D51D3">
        <w:rPr>
          <w:lang w:val="es-CR"/>
        </w:rPr>
        <w:t xml:space="preserve">Por otro lado, la presencia de hipertensión arterial en los pacientes con antecedentes de EVC fue del 78.3% (90 pacientes), mientras que el 21.7% (25 pacientes) no presentaba la enfermedad (ver </w:t>
      </w:r>
      <w:r w:rsidR="00AD45A8">
        <w:rPr>
          <w:lang w:val="es-CR"/>
        </w:rPr>
        <w:t>t</w:t>
      </w:r>
      <w:r w:rsidRPr="009D51D3">
        <w:rPr>
          <w:lang w:val="es-CR"/>
        </w:rPr>
        <w:t xml:space="preserve">abla 3). Respecto al sexo de los pacientes estudiados, el 57.0% (66 pacientes) fueron hombres, mientras que el 43% (49 pacientes) fueron mujeres (ver </w:t>
      </w:r>
      <w:r w:rsidR="00AD45A8">
        <w:rPr>
          <w:lang w:val="es-CR"/>
        </w:rPr>
        <w:t>t</w:t>
      </w:r>
      <w:r w:rsidRPr="009D51D3">
        <w:rPr>
          <w:lang w:val="es-CR"/>
        </w:rPr>
        <w:t xml:space="preserve">abla </w:t>
      </w:r>
      <w:r w:rsidR="00AD45A8">
        <w:rPr>
          <w:lang w:val="es-CR"/>
        </w:rPr>
        <w:t>4</w:t>
      </w:r>
      <w:r w:rsidRPr="009D51D3">
        <w:rPr>
          <w:lang w:val="es-CR"/>
        </w:rPr>
        <w:t>).</w:t>
      </w:r>
    </w:p>
    <w:p w14:paraId="52A85FB2" w14:textId="73C2FA08" w:rsidR="00EB425A" w:rsidRDefault="009D51D3" w:rsidP="009D51D3">
      <w:pPr>
        <w:jc w:val="both"/>
        <w:rPr>
          <w:lang w:val="es-CR"/>
        </w:rPr>
        <w:sectPr w:rsidR="00EB425A" w:rsidSect="00B56354">
          <w:type w:val="continuous"/>
          <w:pgSz w:w="12240" w:h="15840"/>
          <w:pgMar w:top="1440" w:right="1467" w:bottom="1440" w:left="1440" w:header="720" w:footer="720" w:gutter="0"/>
          <w:pgNumType w:start="1"/>
          <w:cols w:num="2" w:space="720"/>
        </w:sectPr>
      </w:pPr>
      <w:r w:rsidRPr="009D51D3">
        <w:rPr>
          <w:lang w:val="es-CR"/>
        </w:rPr>
        <w:t xml:space="preserve">En cuanto al tabaquismo, el 27.0% (31 pacientes) de los pacientes con antecedentes de EVC eran fumadores crónicos, mientras que el 73.0% (84 pacientes) no tenían el hábito de fumar (ver </w:t>
      </w:r>
      <w:r w:rsidR="00385255">
        <w:rPr>
          <w:lang w:val="es-CR"/>
        </w:rPr>
        <w:t>t</w:t>
      </w:r>
      <w:r w:rsidRPr="009D51D3">
        <w:rPr>
          <w:lang w:val="es-CR"/>
        </w:rPr>
        <w:t xml:space="preserve">abla 3). Respecto al índice de masa corporal (IMC), se observó que el 4% (5 pacientes) tenía bajo peso, el 16.5% (19 pacientes) tenía peso normal, el 39.5% (45 pacientes) tenía sobrepeso y el 40% (46 pacientes) tenía obesidad (ver Tabla y Gráfica 8). En cuanto al peso, se observó que la mayor incidencia (70 kg) fue del 8.7% (10 pacientes) (ver </w:t>
      </w:r>
      <w:r w:rsidR="00F26099">
        <w:rPr>
          <w:lang w:val="es-CR"/>
        </w:rPr>
        <w:t>t</w:t>
      </w:r>
      <w:r w:rsidRPr="009D51D3">
        <w:rPr>
          <w:lang w:val="es-CR"/>
        </w:rPr>
        <w:t xml:space="preserve">abla </w:t>
      </w:r>
      <w:r w:rsidR="00F26099">
        <w:rPr>
          <w:lang w:val="es-CR"/>
        </w:rPr>
        <w:t>3</w:t>
      </w:r>
      <w:r w:rsidRPr="009D51D3">
        <w:rPr>
          <w:lang w:val="es-CR"/>
        </w:rPr>
        <w:t xml:space="preserve">). Con respecto a la talla, la mayor incidencia (160 </w:t>
      </w:r>
    </w:p>
    <w:p w14:paraId="3AA6A045" w14:textId="4AC66D74" w:rsidR="007769EC" w:rsidRDefault="009D51D3" w:rsidP="009D51D3">
      <w:pPr>
        <w:jc w:val="both"/>
        <w:rPr>
          <w:lang w:val="es-CR"/>
        </w:rPr>
      </w:pPr>
      <w:r w:rsidRPr="009D51D3">
        <w:rPr>
          <w:lang w:val="es-CR"/>
        </w:rPr>
        <w:lastRenderedPageBreak/>
        <w:t xml:space="preserve">cm) fue del 16.5% (19 pacientes) (ver </w:t>
      </w:r>
      <w:r w:rsidR="002C58A1">
        <w:rPr>
          <w:lang w:val="es-CR"/>
        </w:rPr>
        <w:t>t</w:t>
      </w:r>
      <w:r w:rsidRPr="009D51D3">
        <w:rPr>
          <w:lang w:val="es-CR"/>
        </w:rPr>
        <w:t xml:space="preserve">abla </w:t>
      </w:r>
      <w:r w:rsidR="002C58A1">
        <w:rPr>
          <w:lang w:val="es-CR"/>
        </w:rPr>
        <w:t>5</w:t>
      </w:r>
      <w:r w:rsidRPr="009D51D3">
        <w:rPr>
          <w:lang w:val="es-CR"/>
        </w:rPr>
        <w:t>).</w:t>
      </w:r>
    </w:p>
    <w:p w14:paraId="7AB6A416" w14:textId="77777777" w:rsidR="00EB425A" w:rsidRDefault="00EB425A" w:rsidP="008B55A7">
      <w:pPr>
        <w:jc w:val="both"/>
        <w:rPr>
          <w:lang w:val="es-CR"/>
        </w:rPr>
        <w:sectPr w:rsidR="00EB425A" w:rsidSect="00B56354">
          <w:type w:val="continuous"/>
          <w:pgSz w:w="12240" w:h="15840"/>
          <w:pgMar w:top="1440" w:right="1467" w:bottom="1440" w:left="1440" w:header="720" w:footer="720" w:gutter="0"/>
          <w:pgNumType w:start="1"/>
          <w:cols w:num="2" w:space="720"/>
        </w:sectPr>
      </w:pPr>
    </w:p>
    <w:p w14:paraId="6B0EB309" w14:textId="77777777" w:rsidR="00EB425A" w:rsidRDefault="00EB425A" w:rsidP="008B55A7">
      <w:pPr>
        <w:jc w:val="both"/>
        <w:rPr>
          <w:lang w:val="es-CR"/>
        </w:rPr>
      </w:pPr>
    </w:p>
    <w:tbl>
      <w:tblPr>
        <w:tblStyle w:val="Tablaconcuadrcula"/>
        <w:tblW w:w="9323" w:type="dxa"/>
        <w:tblLayout w:type="fixed"/>
        <w:tblCellMar>
          <w:top w:w="28" w:type="dxa"/>
          <w:bottom w:w="28" w:type="dxa"/>
        </w:tblCellMar>
        <w:tblLook w:val="04A0" w:firstRow="1" w:lastRow="0" w:firstColumn="1" w:lastColumn="0" w:noHBand="0" w:noVBand="1"/>
      </w:tblPr>
      <w:tblGrid>
        <w:gridCol w:w="1555"/>
        <w:gridCol w:w="965"/>
        <w:gridCol w:w="452"/>
        <w:gridCol w:w="971"/>
        <w:gridCol w:w="447"/>
        <w:gridCol w:w="853"/>
        <w:gridCol w:w="564"/>
        <w:gridCol w:w="762"/>
        <w:gridCol w:w="656"/>
        <w:gridCol w:w="710"/>
        <w:gridCol w:w="849"/>
        <w:gridCol w:w="539"/>
      </w:tblGrid>
      <w:tr w:rsidR="0007456C" w:rsidRPr="005C4E32" w14:paraId="5948C212" w14:textId="77777777" w:rsidTr="000346C9">
        <w:trPr>
          <w:trHeight w:val="379"/>
        </w:trPr>
        <w:tc>
          <w:tcPr>
            <w:tcW w:w="9323" w:type="dxa"/>
            <w:gridSpan w:val="12"/>
            <w:noWrap/>
          </w:tcPr>
          <w:p w14:paraId="631FE2B2" w14:textId="4DE47CC2" w:rsidR="00EB04F6" w:rsidRPr="0007456C" w:rsidRDefault="00200FC2" w:rsidP="00200FC2">
            <w:pPr>
              <w:pStyle w:val="Sinespaciado"/>
              <w:rPr>
                <w:rFonts w:cstheme="minorHAnsi"/>
                <w:sz w:val="20"/>
                <w:szCs w:val="20"/>
                <w:lang w:val="es-MX"/>
              </w:rPr>
            </w:pPr>
            <w:r w:rsidRPr="000346C9">
              <w:rPr>
                <w:rFonts w:cstheme="minorHAnsi"/>
                <w:b/>
                <w:bCs/>
                <w:lang w:val="es-MX"/>
              </w:rPr>
              <w:t>T</w:t>
            </w:r>
            <w:r w:rsidR="0007456C" w:rsidRPr="000346C9">
              <w:rPr>
                <w:rFonts w:cstheme="minorHAnsi"/>
                <w:b/>
                <w:bCs/>
                <w:lang w:val="es-MX"/>
              </w:rPr>
              <w:t>abla 1</w:t>
            </w:r>
            <w:r w:rsidRPr="000346C9">
              <w:rPr>
                <w:rFonts w:cstheme="minorHAnsi"/>
                <w:lang w:val="es-MX"/>
              </w:rPr>
              <w:t>.</w:t>
            </w:r>
            <w:r w:rsidR="0007456C" w:rsidRPr="000346C9">
              <w:rPr>
                <w:rFonts w:cstheme="minorHAnsi"/>
                <w:lang w:val="es-MX"/>
              </w:rPr>
              <w:t xml:space="preserve"> </w:t>
            </w:r>
            <w:r w:rsidRPr="000346C9">
              <w:rPr>
                <w:rFonts w:cstheme="minorHAnsi"/>
                <w:lang w:val="es-MX"/>
              </w:rPr>
              <w:t>D</w:t>
            </w:r>
            <w:r w:rsidR="0007456C" w:rsidRPr="000346C9">
              <w:rPr>
                <w:rFonts w:cstheme="minorHAnsi"/>
                <w:lang w:val="es-MX"/>
              </w:rPr>
              <w:t xml:space="preserve">eterioro cognitivo y nivel de discapacidad física en pacientes con antecedente de evento vascular cerebral, en la </w:t>
            </w:r>
            <w:r w:rsidRPr="000346C9">
              <w:rPr>
                <w:rFonts w:cstheme="minorHAnsi"/>
                <w:lang w:val="es-MX"/>
              </w:rPr>
              <w:t>UMF</w:t>
            </w:r>
            <w:r w:rsidR="0007456C" w:rsidRPr="000346C9">
              <w:rPr>
                <w:rFonts w:cstheme="minorHAnsi"/>
                <w:lang w:val="es-MX"/>
              </w:rPr>
              <w:t xml:space="preserve"> 62, 2023</w:t>
            </w:r>
          </w:p>
        </w:tc>
      </w:tr>
      <w:tr w:rsidR="000346C9" w:rsidRPr="0007456C" w14:paraId="3F4C2453" w14:textId="77777777" w:rsidTr="00385255">
        <w:trPr>
          <w:trHeight w:val="261"/>
        </w:trPr>
        <w:tc>
          <w:tcPr>
            <w:tcW w:w="1555" w:type="dxa"/>
            <w:vMerge w:val="restart"/>
            <w:noWrap/>
            <w:vAlign w:val="center"/>
            <w:hideMark/>
          </w:tcPr>
          <w:p w14:paraId="574A0C99" w14:textId="310C7FCE" w:rsidR="000346C9" w:rsidRPr="000346C9" w:rsidRDefault="000346C9" w:rsidP="000346C9">
            <w:pPr>
              <w:jc w:val="center"/>
              <w:rPr>
                <w:rFonts w:cstheme="minorHAnsi"/>
                <w:b/>
                <w:bCs/>
                <w:sz w:val="20"/>
                <w:szCs w:val="20"/>
              </w:rPr>
            </w:pPr>
            <w:r w:rsidRPr="000346C9">
              <w:rPr>
                <w:rFonts w:cstheme="minorHAnsi"/>
                <w:b/>
                <w:bCs/>
                <w:sz w:val="20"/>
                <w:szCs w:val="20"/>
              </w:rPr>
              <w:t>Deterioro cognitivo</w:t>
            </w:r>
          </w:p>
        </w:tc>
        <w:tc>
          <w:tcPr>
            <w:tcW w:w="7229" w:type="dxa"/>
            <w:gridSpan w:val="10"/>
            <w:noWrap/>
            <w:hideMark/>
          </w:tcPr>
          <w:p w14:paraId="4ED21E2D" w14:textId="73D19A31" w:rsidR="000346C9" w:rsidRPr="0007456C" w:rsidRDefault="000346C9" w:rsidP="00FF44A3">
            <w:pPr>
              <w:jc w:val="center"/>
              <w:rPr>
                <w:rFonts w:cstheme="minorHAnsi"/>
                <w:b/>
                <w:sz w:val="20"/>
                <w:szCs w:val="20"/>
              </w:rPr>
            </w:pPr>
            <w:r>
              <w:rPr>
                <w:rFonts w:cstheme="minorHAnsi"/>
                <w:b/>
                <w:sz w:val="20"/>
                <w:szCs w:val="20"/>
              </w:rPr>
              <w:t>G</w:t>
            </w:r>
            <w:r w:rsidRPr="0007456C">
              <w:rPr>
                <w:rFonts w:cstheme="minorHAnsi"/>
                <w:b/>
                <w:sz w:val="20"/>
                <w:szCs w:val="20"/>
              </w:rPr>
              <w:t>rado de dependencia</w:t>
            </w:r>
          </w:p>
        </w:tc>
        <w:tc>
          <w:tcPr>
            <w:tcW w:w="539" w:type="dxa"/>
          </w:tcPr>
          <w:p w14:paraId="6DDC80F5" w14:textId="77777777" w:rsidR="000346C9" w:rsidRPr="0007456C" w:rsidRDefault="000346C9" w:rsidP="00FF44A3">
            <w:pPr>
              <w:jc w:val="center"/>
              <w:rPr>
                <w:rFonts w:cstheme="minorHAnsi"/>
                <w:b/>
                <w:sz w:val="20"/>
                <w:szCs w:val="20"/>
              </w:rPr>
            </w:pPr>
          </w:p>
        </w:tc>
      </w:tr>
      <w:tr w:rsidR="000346C9" w:rsidRPr="0007456C" w14:paraId="7E3983FE" w14:textId="77777777" w:rsidTr="00385255">
        <w:trPr>
          <w:trHeight w:val="298"/>
        </w:trPr>
        <w:tc>
          <w:tcPr>
            <w:tcW w:w="1555" w:type="dxa"/>
            <w:vMerge/>
            <w:noWrap/>
          </w:tcPr>
          <w:p w14:paraId="671A5E97" w14:textId="77777777" w:rsidR="000346C9" w:rsidRPr="0007456C" w:rsidRDefault="000346C9" w:rsidP="00FF44A3">
            <w:pPr>
              <w:jc w:val="center"/>
              <w:rPr>
                <w:rFonts w:eastAsia="Times New Roman" w:cstheme="minorHAnsi"/>
                <w:b/>
                <w:bCs/>
                <w:sz w:val="20"/>
                <w:szCs w:val="20"/>
                <w:lang w:eastAsia="es-MX"/>
              </w:rPr>
            </w:pPr>
          </w:p>
        </w:tc>
        <w:tc>
          <w:tcPr>
            <w:tcW w:w="1417" w:type="dxa"/>
            <w:gridSpan w:val="2"/>
            <w:noWrap/>
          </w:tcPr>
          <w:p w14:paraId="79ABA9E8" w14:textId="07FBFA30" w:rsidR="000346C9" w:rsidRPr="000346C9" w:rsidRDefault="000346C9" w:rsidP="00FF44A3">
            <w:pPr>
              <w:jc w:val="center"/>
              <w:rPr>
                <w:rFonts w:eastAsia="Times New Roman" w:cstheme="minorHAnsi"/>
                <w:b/>
                <w:bCs/>
                <w:sz w:val="18"/>
                <w:szCs w:val="18"/>
                <w:lang w:eastAsia="es-MX"/>
              </w:rPr>
            </w:pPr>
            <w:r w:rsidRPr="000346C9">
              <w:rPr>
                <w:rFonts w:eastAsia="Times New Roman" w:cstheme="minorHAnsi"/>
                <w:b/>
                <w:bCs/>
                <w:sz w:val="18"/>
                <w:szCs w:val="18"/>
                <w:lang w:eastAsia="es-MX"/>
              </w:rPr>
              <w:t>Dependencia total</w:t>
            </w:r>
          </w:p>
        </w:tc>
        <w:tc>
          <w:tcPr>
            <w:tcW w:w="1418" w:type="dxa"/>
            <w:gridSpan w:val="2"/>
            <w:noWrap/>
          </w:tcPr>
          <w:p w14:paraId="49A22E6E" w14:textId="5FB99FFC" w:rsidR="000346C9" w:rsidRPr="000346C9" w:rsidRDefault="000346C9" w:rsidP="00FF44A3">
            <w:pPr>
              <w:jc w:val="center"/>
              <w:rPr>
                <w:rFonts w:eastAsia="Times New Roman" w:cstheme="minorHAnsi"/>
                <w:b/>
                <w:bCs/>
                <w:sz w:val="18"/>
                <w:szCs w:val="18"/>
                <w:lang w:eastAsia="es-MX"/>
              </w:rPr>
            </w:pPr>
            <w:r w:rsidRPr="000346C9">
              <w:rPr>
                <w:rFonts w:eastAsia="Times New Roman" w:cstheme="minorHAnsi"/>
                <w:b/>
                <w:bCs/>
                <w:sz w:val="18"/>
                <w:szCs w:val="18"/>
                <w:lang w:eastAsia="es-MX"/>
              </w:rPr>
              <w:t>Dependencia severa</w:t>
            </w:r>
          </w:p>
        </w:tc>
        <w:tc>
          <w:tcPr>
            <w:tcW w:w="1417" w:type="dxa"/>
            <w:gridSpan w:val="2"/>
          </w:tcPr>
          <w:p w14:paraId="6DDC0341" w14:textId="6D97CD34" w:rsidR="000346C9" w:rsidRPr="000346C9" w:rsidRDefault="000346C9" w:rsidP="00FF44A3">
            <w:pPr>
              <w:jc w:val="center"/>
              <w:rPr>
                <w:rFonts w:eastAsia="Times New Roman" w:cstheme="minorHAnsi"/>
                <w:b/>
                <w:bCs/>
                <w:sz w:val="18"/>
                <w:szCs w:val="18"/>
                <w:lang w:eastAsia="es-MX"/>
              </w:rPr>
            </w:pPr>
            <w:r w:rsidRPr="000346C9">
              <w:rPr>
                <w:rFonts w:eastAsia="Times New Roman" w:cstheme="minorHAnsi"/>
                <w:b/>
                <w:bCs/>
                <w:sz w:val="18"/>
                <w:szCs w:val="18"/>
                <w:lang w:eastAsia="es-MX"/>
              </w:rPr>
              <w:t>Dependencia moderada</w:t>
            </w:r>
          </w:p>
        </w:tc>
        <w:tc>
          <w:tcPr>
            <w:tcW w:w="1418" w:type="dxa"/>
            <w:gridSpan w:val="2"/>
          </w:tcPr>
          <w:p w14:paraId="2C75D7E4" w14:textId="15927FE1" w:rsidR="000346C9" w:rsidRPr="000346C9" w:rsidRDefault="000346C9" w:rsidP="00FF44A3">
            <w:pPr>
              <w:jc w:val="center"/>
              <w:rPr>
                <w:rFonts w:eastAsia="Times New Roman" w:cstheme="minorHAnsi"/>
                <w:b/>
                <w:bCs/>
                <w:sz w:val="18"/>
                <w:szCs w:val="18"/>
                <w:lang w:eastAsia="es-MX"/>
              </w:rPr>
            </w:pPr>
            <w:r w:rsidRPr="000346C9">
              <w:rPr>
                <w:rFonts w:eastAsia="Times New Roman" w:cstheme="minorHAnsi"/>
                <w:b/>
                <w:bCs/>
                <w:sz w:val="18"/>
                <w:szCs w:val="18"/>
                <w:lang w:eastAsia="es-MX"/>
              </w:rPr>
              <w:t>Dependencia escasa</w:t>
            </w:r>
          </w:p>
        </w:tc>
        <w:tc>
          <w:tcPr>
            <w:tcW w:w="1559" w:type="dxa"/>
            <w:gridSpan w:val="2"/>
          </w:tcPr>
          <w:p w14:paraId="3FE8024C" w14:textId="21D6B4B7" w:rsidR="000346C9" w:rsidRPr="000346C9" w:rsidRDefault="000346C9" w:rsidP="00FF44A3">
            <w:pPr>
              <w:jc w:val="center"/>
              <w:rPr>
                <w:rFonts w:eastAsia="Times New Roman" w:cstheme="minorHAnsi"/>
                <w:b/>
                <w:bCs/>
                <w:sz w:val="18"/>
                <w:szCs w:val="18"/>
                <w:lang w:eastAsia="es-MX"/>
              </w:rPr>
            </w:pPr>
            <w:r w:rsidRPr="000346C9">
              <w:rPr>
                <w:rFonts w:eastAsia="Times New Roman" w:cstheme="minorHAnsi"/>
                <w:b/>
                <w:bCs/>
                <w:sz w:val="18"/>
                <w:szCs w:val="18"/>
                <w:lang w:eastAsia="es-MX"/>
              </w:rPr>
              <w:t>Independencia</w:t>
            </w:r>
          </w:p>
        </w:tc>
        <w:tc>
          <w:tcPr>
            <w:tcW w:w="539" w:type="dxa"/>
          </w:tcPr>
          <w:p w14:paraId="42ACE77D" w14:textId="19AB53DE" w:rsidR="000346C9" w:rsidRPr="000346C9" w:rsidRDefault="000346C9" w:rsidP="00FF44A3">
            <w:pPr>
              <w:jc w:val="center"/>
              <w:rPr>
                <w:rFonts w:eastAsia="Times New Roman" w:cstheme="minorHAnsi"/>
                <w:b/>
                <w:bCs/>
                <w:sz w:val="20"/>
                <w:szCs w:val="20"/>
                <w:lang w:eastAsia="es-MX"/>
              </w:rPr>
            </w:pPr>
            <w:r w:rsidRPr="000346C9">
              <w:rPr>
                <w:rFonts w:eastAsia="Times New Roman" w:cstheme="minorHAnsi"/>
                <w:b/>
                <w:bCs/>
                <w:sz w:val="20"/>
                <w:szCs w:val="20"/>
                <w:lang w:eastAsia="es-MX"/>
              </w:rPr>
              <w:t>p</w:t>
            </w:r>
          </w:p>
        </w:tc>
      </w:tr>
      <w:tr w:rsidR="000346C9" w:rsidRPr="0007456C" w14:paraId="002D1053" w14:textId="77777777" w:rsidTr="00385255">
        <w:trPr>
          <w:trHeight w:val="298"/>
        </w:trPr>
        <w:tc>
          <w:tcPr>
            <w:tcW w:w="1555" w:type="dxa"/>
            <w:vMerge/>
            <w:noWrap/>
          </w:tcPr>
          <w:p w14:paraId="7F89A274" w14:textId="77777777" w:rsidR="000346C9" w:rsidRPr="0007456C" w:rsidRDefault="000346C9" w:rsidP="00FF44A3">
            <w:pPr>
              <w:jc w:val="center"/>
              <w:rPr>
                <w:rFonts w:eastAsia="Times New Roman" w:cstheme="minorHAnsi"/>
                <w:b/>
                <w:bCs/>
                <w:sz w:val="20"/>
                <w:szCs w:val="20"/>
                <w:lang w:eastAsia="es-MX"/>
              </w:rPr>
            </w:pPr>
          </w:p>
        </w:tc>
        <w:tc>
          <w:tcPr>
            <w:tcW w:w="965" w:type="dxa"/>
            <w:noWrap/>
          </w:tcPr>
          <w:p w14:paraId="5E2A2DA8" w14:textId="4F29506A"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FC</w:t>
            </w:r>
          </w:p>
        </w:tc>
        <w:tc>
          <w:tcPr>
            <w:tcW w:w="452" w:type="dxa"/>
          </w:tcPr>
          <w:p w14:paraId="13266711" w14:textId="11BE2F51"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w:t>
            </w:r>
          </w:p>
        </w:tc>
        <w:tc>
          <w:tcPr>
            <w:tcW w:w="971" w:type="dxa"/>
            <w:noWrap/>
          </w:tcPr>
          <w:p w14:paraId="434CB345" w14:textId="09DFA187"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FC</w:t>
            </w:r>
          </w:p>
        </w:tc>
        <w:tc>
          <w:tcPr>
            <w:tcW w:w="447" w:type="dxa"/>
          </w:tcPr>
          <w:p w14:paraId="70862B77" w14:textId="5150F0D6"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w:t>
            </w:r>
          </w:p>
        </w:tc>
        <w:tc>
          <w:tcPr>
            <w:tcW w:w="853" w:type="dxa"/>
          </w:tcPr>
          <w:p w14:paraId="663E666B" w14:textId="4DFF0137"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FC</w:t>
            </w:r>
          </w:p>
        </w:tc>
        <w:tc>
          <w:tcPr>
            <w:tcW w:w="564" w:type="dxa"/>
          </w:tcPr>
          <w:p w14:paraId="02EC102F" w14:textId="54EF1A0B"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w:t>
            </w:r>
          </w:p>
        </w:tc>
        <w:tc>
          <w:tcPr>
            <w:tcW w:w="762" w:type="dxa"/>
          </w:tcPr>
          <w:p w14:paraId="35359179" w14:textId="34C7D2EE"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FC</w:t>
            </w:r>
          </w:p>
        </w:tc>
        <w:tc>
          <w:tcPr>
            <w:tcW w:w="656" w:type="dxa"/>
          </w:tcPr>
          <w:p w14:paraId="631AA3DA" w14:textId="515E52C0"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w:t>
            </w:r>
          </w:p>
        </w:tc>
        <w:tc>
          <w:tcPr>
            <w:tcW w:w="710" w:type="dxa"/>
          </w:tcPr>
          <w:p w14:paraId="100CCB53" w14:textId="5D48F6F0"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FC</w:t>
            </w:r>
          </w:p>
        </w:tc>
        <w:tc>
          <w:tcPr>
            <w:tcW w:w="849" w:type="dxa"/>
          </w:tcPr>
          <w:p w14:paraId="55E0DC8F" w14:textId="603E36A5" w:rsidR="000346C9" w:rsidRPr="0007456C" w:rsidRDefault="000346C9" w:rsidP="00FF44A3">
            <w:pPr>
              <w:jc w:val="center"/>
              <w:rPr>
                <w:rFonts w:eastAsia="Times New Roman" w:cstheme="minorHAnsi"/>
                <w:b/>
                <w:sz w:val="20"/>
                <w:szCs w:val="20"/>
                <w:lang w:eastAsia="es-MX"/>
              </w:rPr>
            </w:pPr>
            <w:r w:rsidRPr="0007456C">
              <w:rPr>
                <w:rFonts w:eastAsia="Times New Roman" w:cstheme="minorHAnsi"/>
                <w:b/>
                <w:sz w:val="20"/>
                <w:szCs w:val="20"/>
                <w:lang w:eastAsia="es-MX"/>
              </w:rPr>
              <w:t>%</w:t>
            </w:r>
          </w:p>
        </w:tc>
        <w:tc>
          <w:tcPr>
            <w:tcW w:w="539" w:type="dxa"/>
            <w:vMerge w:val="restart"/>
          </w:tcPr>
          <w:p w14:paraId="2E7A36A3" w14:textId="77777777" w:rsidR="000346C9" w:rsidRPr="0007456C" w:rsidRDefault="000346C9" w:rsidP="00FF44A3">
            <w:pPr>
              <w:jc w:val="center"/>
              <w:rPr>
                <w:rFonts w:eastAsia="Times New Roman" w:cstheme="minorHAnsi"/>
                <w:sz w:val="20"/>
                <w:szCs w:val="20"/>
                <w:lang w:eastAsia="es-MX"/>
              </w:rPr>
            </w:pPr>
          </w:p>
          <w:p w14:paraId="218ED924" w14:textId="03B7CCEF" w:rsidR="000346C9" w:rsidRPr="0007456C" w:rsidRDefault="000346C9" w:rsidP="00FF44A3">
            <w:pPr>
              <w:jc w:val="center"/>
              <w:rPr>
                <w:rFonts w:eastAsia="Times New Roman" w:cstheme="minorHAnsi"/>
                <w:sz w:val="20"/>
                <w:szCs w:val="20"/>
                <w:lang w:eastAsia="es-MX"/>
              </w:rPr>
            </w:pPr>
            <w:r w:rsidRPr="0007456C">
              <w:rPr>
                <w:rFonts w:eastAsia="Times New Roman" w:cstheme="minorHAnsi"/>
                <w:sz w:val="20"/>
                <w:szCs w:val="20"/>
                <w:lang w:eastAsia="es-MX"/>
              </w:rPr>
              <w:t>0.00</w:t>
            </w:r>
          </w:p>
        </w:tc>
      </w:tr>
      <w:tr w:rsidR="000346C9" w:rsidRPr="0007456C" w14:paraId="12B0696F" w14:textId="77777777" w:rsidTr="00385255">
        <w:trPr>
          <w:trHeight w:val="298"/>
        </w:trPr>
        <w:tc>
          <w:tcPr>
            <w:tcW w:w="1555" w:type="dxa"/>
            <w:noWrap/>
            <w:hideMark/>
          </w:tcPr>
          <w:p w14:paraId="5BD7F640" w14:textId="57397638" w:rsidR="00EB04F6" w:rsidRPr="000346C9" w:rsidRDefault="00200FC2" w:rsidP="000346C9">
            <w:pPr>
              <w:rPr>
                <w:rFonts w:eastAsia="Times New Roman" w:cstheme="minorHAnsi"/>
                <w:b/>
                <w:bCs/>
                <w:sz w:val="20"/>
                <w:szCs w:val="20"/>
                <w:lang w:eastAsia="es-MX"/>
              </w:rPr>
            </w:pPr>
            <w:r w:rsidRPr="000346C9">
              <w:rPr>
                <w:rFonts w:eastAsia="Times New Roman" w:cstheme="minorHAnsi"/>
                <w:b/>
                <w:bCs/>
                <w:sz w:val="20"/>
                <w:szCs w:val="20"/>
                <w:lang w:eastAsia="es-MX"/>
              </w:rPr>
              <w:t>C</w:t>
            </w:r>
            <w:r w:rsidR="0007456C" w:rsidRPr="000346C9">
              <w:rPr>
                <w:rFonts w:eastAsia="Times New Roman" w:cstheme="minorHAnsi"/>
                <w:b/>
                <w:bCs/>
                <w:sz w:val="20"/>
                <w:szCs w:val="20"/>
                <w:lang w:eastAsia="es-MX"/>
              </w:rPr>
              <w:t>on probable deterioro cognitivo</w:t>
            </w:r>
          </w:p>
        </w:tc>
        <w:tc>
          <w:tcPr>
            <w:tcW w:w="965" w:type="dxa"/>
            <w:noWrap/>
          </w:tcPr>
          <w:p w14:paraId="070ED4A4" w14:textId="11A3E6D6"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7</w:t>
            </w:r>
          </w:p>
        </w:tc>
        <w:tc>
          <w:tcPr>
            <w:tcW w:w="452" w:type="dxa"/>
          </w:tcPr>
          <w:p w14:paraId="5F003BD8" w14:textId="16368472"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6.1</w:t>
            </w:r>
          </w:p>
        </w:tc>
        <w:tc>
          <w:tcPr>
            <w:tcW w:w="971" w:type="dxa"/>
            <w:noWrap/>
          </w:tcPr>
          <w:p w14:paraId="2704A403" w14:textId="1045223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w:t>
            </w:r>
          </w:p>
        </w:tc>
        <w:tc>
          <w:tcPr>
            <w:tcW w:w="447" w:type="dxa"/>
          </w:tcPr>
          <w:p w14:paraId="7814D90F" w14:textId="487AC812"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3.5</w:t>
            </w:r>
          </w:p>
        </w:tc>
        <w:tc>
          <w:tcPr>
            <w:tcW w:w="853" w:type="dxa"/>
          </w:tcPr>
          <w:p w14:paraId="52D809B6" w14:textId="073EA065"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21</w:t>
            </w:r>
          </w:p>
        </w:tc>
        <w:tc>
          <w:tcPr>
            <w:tcW w:w="564" w:type="dxa"/>
          </w:tcPr>
          <w:p w14:paraId="44F96F4C" w14:textId="6028F95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18.3</w:t>
            </w:r>
          </w:p>
        </w:tc>
        <w:tc>
          <w:tcPr>
            <w:tcW w:w="762" w:type="dxa"/>
          </w:tcPr>
          <w:p w14:paraId="302F8AD4" w14:textId="5D895CB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32</w:t>
            </w:r>
          </w:p>
        </w:tc>
        <w:tc>
          <w:tcPr>
            <w:tcW w:w="656" w:type="dxa"/>
          </w:tcPr>
          <w:p w14:paraId="2AEDC726" w14:textId="0073D238"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27.8</w:t>
            </w:r>
          </w:p>
        </w:tc>
        <w:tc>
          <w:tcPr>
            <w:tcW w:w="710" w:type="dxa"/>
          </w:tcPr>
          <w:p w14:paraId="7EFDD85D" w14:textId="1ECF003D"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w:t>
            </w:r>
          </w:p>
        </w:tc>
        <w:tc>
          <w:tcPr>
            <w:tcW w:w="849" w:type="dxa"/>
          </w:tcPr>
          <w:p w14:paraId="6B6266A3" w14:textId="37902B55"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2.6</w:t>
            </w:r>
          </w:p>
        </w:tc>
        <w:tc>
          <w:tcPr>
            <w:tcW w:w="539" w:type="dxa"/>
            <w:vMerge/>
          </w:tcPr>
          <w:p w14:paraId="390868FC" w14:textId="77777777" w:rsidR="00EB04F6" w:rsidRPr="0007456C" w:rsidRDefault="00EB04F6" w:rsidP="00FF44A3">
            <w:pPr>
              <w:jc w:val="center"/>
              <w:rPr>
                <w:rFonts w:eastAsia="Times New Roman" w:cstheme="minorHAnsi"/>
                <w:sz w:val="20"/>
                <w:szCs w:val="20"/>
                <w:lang w:eastAsia="es-MX"/>
              </w:rPr>
            </w:pPr>
          </w:p>
        </w:tc>
      </w:tr>
      <w:tr w:rsidR="000346C9" w:rsidRPr="0007456C" w14:paraId="13CB4B9A" w14:textId="77777777" w:rsidTr="00385255">
        <w:trPr>
          <w:trHeight w:val="298"/>
        </w:trPr>
        <w:tc>
          <w:tcPr>
            <w:tcW w:w="1555" w:type="dxa"/>
            <w:noWrap/>
            <w:hideMark/>
          </w:tcPr>
          <w:p w14:paraId="14C991A8" w14:textId="0E09A86B" w:rsidR="00EB04F6" w:rsidRPr="000346C9" w:rsidRDefault="00200FC2" w:rsidP="000346C9">
            <w:pPr>
              <w:rPr>
                <w:rFonts w:eastAsia="Times New Roman" w:cstheme="minorHAnsi"/>
                <w:b/>
                <w:bCs/>
                <w:sz w:val="20"/>
                <w:szCs w:val="20"/>
                <w:lang w:eastAsia="es-MX"/>
              </w:rPr>
            </w:pPr>
            <w:r w:rsidRPr="000346C9">
              <w:rPr>
                <w:rFonts w:eastAsia="Times New Roman" w:cstheme="minorHAnsi"/>
                <w:b/>
                <w:bCs/>
                <w:sz w:val="20"/>
                <w:szCs w:val="20"/>
                <w:lang w:eastAsia="es-MX"/>
              </w:rPr>
              <w:t>S</w:t>
            </w:r>
            <w:r w:rsidR="0007456C" w:rsidRPr="000346C9">
              <w:rPr>
                <w:rFonts w:eastAsia="Times New Roman" w:cstheme="minorHAnsi"/>
                <w:b/>
                <w:bCs/>
                <w:sz w:val="20"/>
                <w:szCs w:val="20"/>
                <w:lang w:eastAsia="es-MX"/>
              </w:rPr>
              <w:t>in deterioro cognitivo</w:t>
            </w:r>
          </w:p>
        </w:tc>
        <w:tc>
          <w:tcPr>
            <w:tcW w:w="965" w:type="dxa"/>
            <w:noWrap/>
          </w:tcPr>
          <w:p w14:paraId="13E594B4" w14:textId="70BF613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w:t>
            </w:r>
          </w:p>
        </w:tc>
        <w:tc>
          <w:tcPr>
            <w:tcW w:w="452" w:type="dxa"/>
          </w:tcPr>
          <w:p w14:paraId="6986797B" w14:textId="530616E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0.9</w:t>
            </w:r>
          </w:p>
        </w:tc>
        <w:tc>
          <w:tcPr>
            <w:tcW w:w="971" w:type="dxa"/>
            <w:noWrap/>
          </w:tcPr>
          <w:p w14:paraId="66EF5772" w14:textId="2AF2DC95"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0</w:t>
            </w:r>
          </w:p>
        </w:tc>
        <w:tc>
          <w:tcPr>
            <w:tcW w:w="447" w:type="dxa"/>
          </w:tcPr>
          <w:p w14:paraId="06FAA29C" w14:textId="562CEE82"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0</w:t>
            </w:r>
          </w:p>
        </w:tc>
        <w:tc>
          <w:tcPr>
            <w:tcW w:w="853" w:type="dxa"/>
          </w:tcPr>
          <w:p w14:paraId="583CE741" w14:textId="2D686ECF"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0</w:t>
            </w:r>
          </w:p>
        </w:tc>
        <w:tc>
          <w:tcPr>
            <w:tcW w:w="564" w:type="dxa"/>
          </w:tcPr>
          <w:p w14:paraId="33808560" w14:textId="4DD7031E"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0</w:t>
            </w:r>
          </w:p>
        </w:tc>
        <w:tc>
          <w:tcPr>
            <w:tcW w:w="762" w:type="dxa"/>
          </w:tcPr>
          <w:p w14:paraId="648988C4" w14:textId="1B497A70"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16</w:t>
            </w:r>
          </w:p>
        </w:tc>
        <w:tc>
          <w:tcPr>
            <w:tcW w:w="656" w:type="dxa"/>
          </w:tcPr>
          <w:p w14:paraId="0B50BFB1" w14:textId="0A358D6E"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13.9</w:t>
            </w:r>
          </w:p>
        </w:tc>
        <w:tc>
          <w:tcPr>
            <w:tcW w:w="710" w:type="dxa"/>
          </w:tcPr>
          <w:p w14:paraId="33D69FC6" w14:textId="08E4ED3A"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31</w:t>
            </w:r>
          </w:p>
        </w:tc>
        <w:tc>
          <w:tcPr>
            <w:tcW w:w="849" w:type="dxa"/>
          </w:tcPr>
          <w:p w14:paraId="4BBC4ACB" w14:textId="708774C1"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27</w:t>
            </w:r>
          </w:p>
        </w:tc>
        <w:tc>
          <w:tcPr>
            <w:tcW w:w="539" w:type="dxa"/>
            <w:vMerge/>
          </w:tcPr>
          <w:p w14:paraId="118E1BC0" w14:textId="77777777" w:rsidR="00EB04F6" w:rsidRPr="0007456C" w:rsidRDefault="00EB04F6" w:rsidP="00FF44A3">
            <w:pPr>
              <w:jc w:val="center"/>
              <w:rPr>
                <w:rFonts w:eastAsia="Times New Roman" w:cstheme="minorHAnsi"/>
                <w:sz w:val="20"/>
                <w:szCs w:val="20"/>
                <w:lang w:eastAsia="es-MX"/>
              </w:rPr>
            </w:pPr>
          </w:p>
        </w:tc>
      </w:tr>
      <w:tr w:rsidR="000346C9" w:rsidRPr="0007456C" w14:paraId="6CBFE2AC" w14:textId="77777777" w:rsidTr="00385255">
        <w:trPr>
          <w:trHeight w:val="298"/>
        </w:trPr>
        <w:tc>
          <w:tcPr>
            <w:tcW w:w="1555" w:type="dxa"/>
            <w:noWrap/>
            <w:hideMark/>
          </w:tcPr>
          <w:p w14:paraId="792004EB" w14:textId="37D2D336" w:rsidR="00EB04F6" w:rsidRPr="000346C9" w:rsidRDefault="00200FC2" w:rsidP="000346C9">
            <w:pPr>
              <w:rPr>
                <w:rFonts w:eastAsia="Times New Roman" w:cstheme="minorHAnsi"/>
                <w:b/>
                <w:bCs/>
                <w:sz w:val="20"/>
                <w:szCs w:val="20"/>
                <w:lang w:eastAsia="es-MX"/>
              </w:rPr>
            </w:pPr>
            <w:r w:rsidRPr="000346C9">
              <w:rPr>
                <w:rFonts w:eastAsia="Times New Roman" w:cstheme="minorHAnsi"/>
                <w:b/>
                <w:bCs/>
                <w:sz w:val="20"/>
                <w:szCs w:val="20"/>
                <w:lang w:eastAsia="es-MX"/>
              </w:rPr>
              <w:t>T</w:t>
            </w:r>
            <w:r w:rsidR="0007456C" w:rsidRPr="000346C9">
              <w:rPr>
                <w:rFonts w:eastAsia="Times New Roman" w:cstheme="minorHAnsi"/>
                <w:b/>
                <w:bCs/>
                <w:sz w:val="20"/>
                <w:szCs w:val="20"/>
                <w:lang w:eastAsia="es-MX"/>
              </w:rPr>
              <w:t>otal</w:t>
            </w:r>
          </w:p>
        </w:tc>
        <w:tc>
          <w:tcPr>
            <w:tcW w:w="965" w:type="dxa"/>
            <w:noWrap/>
          </w:tcPr>
          <w:p w14:paraId="5C69B17E" w14:textId="29BFFAF2"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8</w:t>
            </w:r>
          </w:p>
        </w:tc>
        <w:tc>
          <w:tcPr>
            <w:tcW w:w="452" w:type="dxa"/>
          </w:tcPr>
          <w:p w14:paraId="5DCB0E01" w14:textId="4CA892CC"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7</w:t>
            </w:r>
          </w:p>
        </w:tc>
        <w:tc>
          <w:tcPr>
            <w:tcW w:w="971" w:type="dxa"/>
            <w:noWrap/>
          </w:tcPr>
          <w:p w14:paraId="51E53765" w14:textId="7F5F4D0A"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w:t>
            </w:r>
          </w:p>
        </w:tc>
        <w:tc>
          <w:tcPr>
            <w:tcW w:w="447" w:type="dxa"/>
          </w:tcPr>
          <w:p w14:paraId="618B0145" w14:textId="65AFCA3B"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3.5</w:t>
            </w:r>
          </w:p>
        </w:tc>
        <w:tc>
          <w:tcPr>
            <w:tcW w:w="853" w:type="dxa"/>
          </w:tcPr>
          <w:p w14:paraId="2CBC9D44" w14:textId="01CA7A8F"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21</w:t>
            </w:r>
          </w:p>
        </w:tc>
        <w:tc>
          <w:tcPr>
            <w:tcW w:w="564" w:type="dxa"/>
          </w:tcPr>
          <w:p w14:paraId="5AEA1471" w14:textId="72130728"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18.3</w:t>
            </w:r>
          </w:p>
        </w:tc>
        <w:tc>
          <w:tcPr>
            <w:tcW w:w="762" w:type="dxa"/>
          </w:tcPr>
          <w:p w14:paraId="611F0B9D" w14:textId="17075842"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48</w:t>
            </w:r>
          </w:p>
        </w:tc>
        <w:tc>
          <w:tcPr>
            <w:tcW w:w="656" w:type="dxa"/>
          </w:tcPr>
          <w:p w14:paraId="7F0D7AB2" w14:textId="743FD4E8"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41.7</w:t>
            </w:r>
          </w:p>
        </w:tc>
        <w:tc>
          <w:tcPr>
            <w:tcW w:w="710" w:type="dxa"/>
          </w:tcPr>
          <w:p w14:paraId="4328F7C0" w14:textId="227582C4"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34</w:t>
            </w:r>
          </w:p>
        </w:tc>
        <w:tc>
          <w:tcPr>
            <w:tcW w:w="849" w:type="dxa"/>
          </w:tcPr>
          <w:p w14:paraId="15B5489C" w14:textId="09047699" w:rsidR="00EB04F6"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29.6</w:t>
            </w:r>
          </w:p>
        </w:tc>
        <w:tc>
          <w:tcPr>
            <w:tcW w:w="539" w:type="dxa"/>
            <w:vMerge/>
          </w:tcPr>
          <w:p w14:paraId="66AF4390" w14:textId="77777777" w:rsidR="00EB04F6" w:rsidRPr="0007456C" w:rsidRDefault="00EB04F6" w:rsidP="00FF44A3">
            <w:pPr>
              <w:jc w:val="center"/>
              <w:rPr>
                <w:rFonts w:eastAsia="Times New Roman" w:cstheme="minorHAnsi"/>
                <w:sz w:val="20"/>
                <w:szCs w:val="20"/>
                <w:lang w:eastAsia="es-MX"/>
              </w:rPr>
            </w:pPr>
          </w:p>
        </w:tc>
      </w:tr>
      <w:tr w:rsidR="0007456C" w:rsidRPr="005C4E32" w14:paraId="25226BED" w14:textId="77777777" w:rsidTr="000346C9">
        <w:trPr>
          <w:trHeight w:val="298"/>
        </w:trPr>
        <w:tc>
          <w:tcPr>
            <w:tcW w:w="9323" w:type="dxa"/>
            <w:gridSpan w:val="12"/>
            <w:noWrap/>
          </w:tcPr>
          <w:p w14:paraId="34B01CBE" w14:textId="6FF23379" w:rsidR="00200FC2" w:rsidRPr="000346C9" w:rsidRDefault="00200FC2" w:rsidP="00200FC2">
            <w:pPr>
              <w:pStyle w:val="Sinespaciado"/>
              <w:rPr>
                <w:rFonts w:cstheme="minorHAnsi"/>
                <w:sz w:val="18"/>
                <w:szCs w:val="18"/>
                <w:lang w:val="es-MX"/>
              </w:rPr>
            </w:pPr>
            <w:r w:rsidRPr="000346C9">
              <w:rPr>
                <w:rFonts w:cstheme="minorHAnsi"/>
                <w:b/>
                <w:bCs/>
                <w:sz w:val="18"/>
                <w:szCs w:val="18"/>
                <w:lang w:val="es-MX"/>
              </w:rPr>
              <w:t>Abreviaturas</w:t>
            </w:r>
            <w:r w:rsidRPr="000346C9">
              <w:rPr>
                <w:rFonts w:cstheme="minorHAnsi"/>
                <w:sz w:val="18"/>
                <w:szCs w:val="18"/>
                <w:lang w:val="es-MX"/>
              </w:rPr>
              <w:t xml:space="preserve">. </w:t>
            </w:r>
            <w:r w:rsidR="00F160F9" w:rsidRPr="00F160F9">
              <w:rPr>
                <w:rFonts w:cstheme="minorHAnsi"/>
                <w:b/>
                <w:bCs/>
                <w:sz w:val="18"/>
                <w:szCs w:val="18"/>
                <w:lang w:val="es-MX"/>
              </w:rPr>
              <w:t>UMF 62</w:t>
            </w:r>
            <w:r w:rsidR="00F160F9">
              <w:rPr>
                <w:rFonts w:cstheme="minorHAnsi"/>
                <w:sz w:val="18"/>
                <w:szCs w:val="18"/>
                <w:lang w:val="es-MX"/>
              </w:rPr>
              <w:t xml:space="preserve">, </w:t>
            </w:r>
            <w:r w:rsidR="00DF1B6A" w:rsidRPr="00DF1B6A">
              <w:rPr>
                <w:rFonts w:cstheme="minorHAnsi"/>
                <w:sz w:val="18"/>
                <w:szCs w:val="18"/>
                <w:lang w:val="es-MX"/>
              </w:rPr>
              <w:t>Unidad de Medicina Familiar número 62</w:t>
            </w:r>
            <w:r w:rsidR="00F160F9">
              <w:rPr>
                <w:rFonts w:cstheme="minorHAnsi"/>
                <w:sz w:val="18"/>
                <w:szCs w:val="18"/>
                <w:lang w:val="es-MX"/>
              </w:rPr>
              <w:t>;</w:t>
            </w:r>
            <w:r w:rsidR="00DF1B6A" w:rsidRPr="00DF1B6A">
              <w:rPr>
                <w:rFonts w:cstheme="minorHAnsi"/>
                <w:sz w:val="18"/>
                <w:szCs w:val="18"/>
                <w:lang w:val="es-MX"/>
              </w:rPr>
              <w:t xml:space="preserve"> </w:t>
            </w:r>
            <w:r w:rsidRPr="000346C9">
              <w:rPr>
                <w:rFonts w:cstheme="minorHAnsi"/>
                <w:b/>
                <w:bCs/>
                <w:sz w:val="18"/>
                <w:szCs w:val="18"/>
                <w:lang w:val="es-MX"/>
              </w:rPr>
              <w:t>FC</w:t>
            </w:r>
            <w:r w:rsidRPr="000346C9">
              <w:rPr>
                <w:rFonts w:cstheme="minorHAnsi"/>
                <w:sz w:val="18"/>
                <w:szCs w:val="18"/>
                <w:lang w:val="es-MX"/>
              </w:rPr>
              <w:t xml:space="preserve">, frecuencia; </w:t>
            </w:r>
            <w:r w:rsidRPr="000346C9">
              <w:rPr>
                <w:rFonts w:cstheme="minorHAnsi"/>
                <w:b/>
                <w:bCs/>
                <w:sz w:val="18"/>
                <w:szCs w:val="18"/>
                <w:lang w:val="es-MX"/>
              </w:rPr>
              <w:t>%</w:t>
            </w:r>
            <w:r w:rsidRPr="000346C9">
              <w:rPr>
                <w:rFonts w:cstheme="minorHAnsi"/>
                <w:sz w:val="18"/>
                <w:szCs w:val="18"/>
                <w:lang w:val="es-MX"/>
              </w:rPr>
              <w:t xml:space="preserve">, porcentaje; </w:t>
            </w:r>
            <w:r w:rsidRPr="000346C9">
              <w:rPr>
                <w:rFonts w:cstheme="minorHAnsi"/>
                <w:b/>
                <w:bCs/>
                <w:sz w:val="18"/>
                <w:szCs w:val="18"/>
                <w:lang w:val="es-MX"/>
              </w:rPr>
              <w:t>p,</w:t>
            </w:r>
            <w:r w:rsidRPr="000346C9">
              <w:rPr>
                <w:rFonts w:cstheme="minorHAnsi"/>
                <w:sz w:val="18"/>
                <w:szCs w:val="18"/>
                <w:lang w:val="es-MX"/>
              </w:rPr>
              <w:t xml:space="preserve"> nivel de significancia estadística prueba u de Mann-Whitney (p=&lt;0.05)</w:t>
            </w:r>
            <w:r w:rsidR="00BE1149" w:rsidRPr="000346C9">
              <w:rPr>
                <w:rFonts w:cstheme="minorHAnsi"/>
                <w:sz w:val="18"/>
                <w:szCs w:val="18"/>
                <w:lang w:val="es-MX"/>
              </w:rPr>
              <w:t>.</w:t>
            </w:r>
          </w:p>
          <w:p w14:paraId="2E8AFD41" w14:textId="6A765764" w:rsidR="00EB04F6" w:rsidRPr="00200FC2" w:rsidRDefault="00200FC2" w:rsidP="00200FC2">
            <w:pPr>
              <w:jc w:val="both"/>
              <w:rPr>
                <w:rFonts w:eastAsia="Arial" w:cstheme="minorHAnsi"/>
                <w:sz w:val="20"/>
                <w:szCs w:val="20"/>
              </w:rPr>
            </w:pPr>
            <w:r w:rsidRPr="000346C9">
              <w:rPr>
                <w:rFonts w:eastAsia="Arial" w:cstheme="minorHAnsi"/>
                <w:b/>
                <w:bCs/>
                <w:sz w:val="18"/>
                <w:szCs w:val="18"/>
              </w:rPr>
              <w:t>F</w:t>
            </w:r>
            <w:r w:rsidR="0007456C" w:rsidRPr="000346C9">
              <w:rPr>
                <w:rFonts w:eastAsia="Arial" w:cstheme="minorHAnsi"/>
                <w:b/>
                <w:bCs/>
                <w:sz w:val="18"/>
                <w:szCs w:val="18"/>
              </w:rPr>
              <w:t>uente</w:t>
            </w:r>
            <w:r w:rsidRPr="000346C9">
              <w:rPr>
                <w:rFonts w:eastAsia="Arial" w:cstheme="minorHAnsi"/>
                <w:sz w:val="18"/>
                <w:szCs w:val="18"/>
              </w:rPr>
              <w:t>.</w:t>
            </w:r>
            <w:r w:rsidR="0007456C" w:rsidRPr="000346C9">
              <w:rPr>
                <w:rFonts w:eastAsia="Arial" w:cstheme="minorHAnsi"/>
                <w:sz w:val="18"/>
                <w:szCs w:val="18"/>
              </w:rPr>
              <w:t xml:space="preserve"> </w:t>
            </w:r>
            <w:r w:rsidR="00034982" w:rsidRPr="000346C9">
              <w:rPr>
                <w:rFonts w:eastAsia="Arial" w:cstheme="minorHAnsi"/>
                <w:sz w:val="18"/>
                <w:szCs w:val="18"/>
              </w:rPr>
              <w:t>I</w:t>
            </w:r>
            <w:r w:rsidR="0007456C" w:rsidRPr="000346C9">
              <w:rPr>
                <w:rFonts w:eastAsia="Arial" w:cstheme="minorHAnsi"/>
                <w:sz w:val="18"/>
                <w:szCs w:val="18"/>
              </w:rPr>
              <w:t>nstrumento de recolección de datos</w:t>
            </w:r>
            <w:r w:rsidR="00BE1149" w:rsidRPr="000346C9">
              <w:rPr>
                <w:rFonts w:eastAsia="Arial" w:cstheme="minorHAnsi"/>
                <w:sz w:val="18"/>
                <w:szCs w:val="18"/>
              </w:rPr>
              <w:t>.</w:t>
            </w:r>
          </w:p>
        </w:tc>
      </w:tr>
    </w:tbl>
    <w:p w14:paraId="68A8A590" w14:textId="77777777" w:rsidR="00EB425A" w:rsidRPr="0007456C" w:rsidRDefault="00EB425A" w:rsidP="008B55A7">
      <w:pPr>
        <w:jc w:val="both"/>
        <w:rPr>
          <w:rFonts w:asciiTheme="minorHAnsi" w:hAnsiTheme="minorHAnsi" w:cstheme="minorHAnsi"/>
          <w:sz w:val="20"/>
          <w:szCs w:val="20"/>
          <w:lang w:val="es-CR"/>
        </w:rPr>
      </w:pPr>
    </w:p>
    <w:tbl>
      <w:tblPr>
        <w:tblStyle w:val="Tablaconcuadrcula"/>
        <w:tblpPr w:leftFromText="141" w:rightFromText="141" w:vertAnchor="text" w:horzAnchor="margin" w:tblpY="83"/>
        <w:tblW w:w="9236" w:type="dxa"/>
        <w:tblCellMar>
          <w:top w:w="28" w:type="dxa"/>
          <w:bottom w:w="28" w:type="dxa"/>
        </w:tblCellMar>
        <w:tblLook w:val="04A0" w:firstRow="1" w:lastRow="0" w:firstColumn="1" w:lastColumn="0" w:noHBand="0" w:noVBand="1"/>
      </w:tblPr>
      <w:tblGrid>
        <w:gridCol w:w="4385"/>
        <w:gridCol w:w="2551"/>
        <w:gridCol w:w="2300"/>
      </w:tblGrid>
      <w:tr w:rsidR="0007456C" w:rsidRPr="005C4E32" w14:paraId="57A697BE" w14:textId="77777777" w:rsidTr="000346C9">
        <w:trPr>
          <w:trHeight w:val="144"/>
        </w:trPr>
        <w:tc>
          <w:tcPr>
            <w:tcW w:w="9236" w:type="dxa"/>
            <w:gridSpan w:val="3"/>
            <w:noWrap/>
          </w:tcPr>
          <w:p w14:paraId="46D0E9CF" w14:textId="63D06CA2" w:rsidR="009E4A40" w:rsidRPr="00200FC2" w:rsidRDefault="00200FC2" w:rsidP="00200FC2">
            <w:pPr>
              <w:pStyle w:val="Sinespaciado"/>
              <w:rPr>
                <w:rFonts w:cstheme="minorHAnsi"/>
                <w:sz w:val="20"/>
                <w:szCs w:val="20"/>
                <w:lang w:val="es-MX"/>
              </w:rPr>
            </w:pPr>
            <w:r w:rsidRPr="000346C9">
              <w:rPr>
                <w:rFonts w:cstheme="minorHAnsi"/>
                <w:b/>
                <w:bCs/>
                <w:lang w:val="es-MX"/>
              </w:rPr>
              <w:t>T</w:t>
            </w:r>
            <w:r w:rsidR="0007456C" w:rsidRPr="000346C9">
              <w:rPr>
                <w:rFonts w:cstheme="minorHAnsi"/>
                <w:b/>
                <w:bCs/>
                <w:lang w:val="es-MX"/>
              </w:rPr>
              <w:t>abla 2</w:t>
            </w:r>
            <w:r w:rsidRPr="000346C9">
              <w:rPr>
                <w:rFonts w:cstheme="minorHAnsi"/>
                <w:b/>
                <w:bCs/>
                <w:lang w:val="es-MX"/>
              </w:rPr>
              <w:t>.</w:t>
            </w:r>
            <w:r w:rsidR="0007456C" w:rsidRPr="000346C9">
              <w:rPr>
                <w:rFonts w:cstheme="minorHAnsi"/>
                <w:lang w:val="es-MX"/>
              </w:rPr>
              <w:t xml:space="preserve"> </w:t>
            </w:r>
            <w:r w:rsidRPr="000346C9">
              <w:rPr>
                <w:rFonts w:cstheme="minorHAnsi"/>
                <w:lang w:val="es-MX"/>
              </w:rPr>
              <w:t>D</w:t>
            </w:r>
            <w:r w:rsidR="0007456C" w:rsidRPr="000346C9">
              <w:rPr>
                <w:rFonts w:cstheme="minorHAnsi"/>
                <w:lang w:val="es-MX"/>
              </w:rPr>
              <w:t xml:space="preserve">eterioro cognitivo en pacientes con antecedente de evento vascular cerebral, en la </w:t>
            </w:r>
            <w:r w:rsidRPr="000346C9">
              <w:rPr>
                <w:rFonts w:cstheme="minorHAnsi"/>
                <w:lang w:val="es-MX"/>
              </w:rPr>
              <w:t>UMF</w:t>
            </w:r>
            <w:r w:rsidR="0007456C" w:rsidRPr="000346C9">
              <w:rPr>
                <w:rFonts w:cstheme="minorHAnsi"/>
                <w:lang w:val="es-MX"/>
              </w:rPr>
              <w:t xml:space="preserve"> 62, 2023</w:t>
            </w:r>
          </w:p>
        </w:tc>
      </w:tr>
      <w:tr w:rsidR="0007456C" w:rsidRPr="0007456C" w14:paraId="73E362E8" w14:textId="77777777" w:rsidTr="000346C9">
        <w:trPr>
          <w:trHeight w:val="172"/>
        </w:trPr>
        <w:tc>
          <w:tcPr>
            <w:tcW w:w="4385" w:type="dxa"/>
            <w:noWrap/>
            <w:hideMark/>
          </w:tcPr>
          <w:p w14:paraId="2D18434B" w14:textId="11580A0E" w:rsidR="009E4A40" w:rsidRPr="00A60B14" w:rsidRDefault="00BE1149" w:rsidP="00A60B14">
            <w:pPr>
              <w:jc w:val="center"/>
              <w:rPr>
                <w:rFonts w:eastAsia="Times New Roman" w:cstheme="minorHAnsi"/>
                <w:b/>
                <w:bCs/>
                <w:sz w:val="20"/>
                <w:szCs w:val="20"/>
                <w:lang w:eastAsia="es-MX"/>
              </w:rPr>
            </w:pPr>
            <w:r w:rsidRPr="00A60B14">
              <w:rPr>
                <w:rFonts w:eastAsia="Times New Roman" w:cstheme="minorHAnsi"/>
                <w:b/>
                <w:bCs/>
                <w:sz w:val="20"/>
                <w:szCs w:val="20"/>
                <w:lang w:eastAsia="es-MX"/>
              </w:rPr>
              <w:t>D</w:t>
            </w:r>
            <w:r w:rsidR="0007456C" w:rsidRPr="00A60B14">
              <w:rPr>
                <w:rFonts w:eastAsia="Times New Roman" w:cstheme="minorHAnsi"/>
                <w:b/>
                <w:bCs/>
                <w:sz w:val="20"/>
                <w:szCs w:val="20"/>
                <w:lang w:eastAsia="es-MX"/>
              </w:rPr>
              <w:t>eterioro cognitivo</w:t>
            </w:r>
          </w:p>
        </w:tc>
        <w:tc>
          <w:tcPr>
            <w:tcW w:w="2551" w:type="dxa"/>
            <w:noWrap/>
            <w:hideMark/>
          </w:tcPr>
          <w:p w14:paraId="16DA63F9" w14:textId="75A063F8" w:rsidR="009E4A40" w:rsidRPr="0007456C" w:rsidRDefault="00BE1149"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 xml:space="preserve"> FC</w:t>
            </w:r>
          </w:p>
        </w:tc>
        <w:tc>
          <w:tcPr>
            <w:tcW w:w="2300" w:type="dxa"/>
            <w:noWrap/>
            <w:hideMark/>
          </w:tcPr>
          <w:p w14:paraId="533A051F" w14:textId="526E4FEA" w:rsidR="009E4A40" w:rsidRPr="0007456C" w:rsidRDefault="0007456C"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w:t>
            </w:r>
          </w:p>
        </w:tc>
      </w:tr>
      <w:tr w:rsidR="0007456C" w:rsidRPr="0007456C" w14:paraId="205F9D4E" w14:textId="77777777" w:rsidTr="000346C9">
        <w:trPr>
          <w:trHeight w:val="111"/>
        </w:trPr>
        <w:tc>
          <w:tcPr>
            <w:tcW w:w="4385" w:type="dxa"/>
            <w:noWrap/>
            <w:hideMark/>
          </w:tcPr>
          <w:p w14:paraId="755646A7" w14:textId="34974422" w:rsidR="009E4A40" w:rsidRPr="0007456C" w:rsidRDefault="00BE1149" w:rsidP="00BE1149">
            <w:pPr>
              <w:rPr>
                <w:rFonts w:eastAsia="Times New Roman" w:cstheme="minorHAnsi"/>
                <w:b/>
                <w:bCs/>
                <w:sz w:val="20"/>
                <w:szCs w:val="20"/>
                <w:lang w:eastAsia="es-MX"/>
              </w:rPr>
            </w:pPr>
            <w:r>
              <w:rPr>
                <w:rFonts w:eastAsia="Times New Roman" w:cstheme="minorHAnsi"/>
                <w:sz w:val="20"/>
                <w:szCs w:val="20"/>
                <w:lang w:eastAsia="es-MX"/>
              </w:rPr>
              <w:t>C</w:t>
            </w:r>
            <w:r w:rsidR="0007456C" w:rsidRPr="0007456C">
              <w:rPr>
                <w:rFonts w:eastAsia="Times New Roman" w:cstheme="minorHAnsi"/>
                <w:sz w:val="20"/>
                <w:szCs w:val="20"/>
                <w:lang w:eastAsia="es-MX"/>
              </w:rPr>
              <w:t>on probable deterioro cognitivo</w:t>
            </w:r>
          </w:p>
        </w:tc>
        <w:tc>
          <w:tcPr>
            <w:tcW w:w="2551" w:type="dxa"/>
            <w:noWrap/>
            <w:hideMark/>
          </w:tcPr>
          <w:p w14:paraId="09E175EC" w14:textId="0FD27095"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66</w:t>
            </w:r>
          </w:p>
        </w:tc>
        <w:tc>
          <w:tcPr>
            <w:tcW w:w="2300" w:type="dxa"/>
            <w:noWrap/>
            <w:hideMark/>
          </w:tcPr>
          <w:p w14:paraId="29759EF3" w14:textId="0566A93D"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57.40%</w:t>
            </w:r>
          </w:p>
        </w:tc>
      </w:tr>
      <w:tr w:rsidR="0007456C" w:rsidRPr="0007456C" w14:paraId="41306718" w14:textId="77777777" w:rsidTr="000346C9">
        <w:trPr>
          <w:trHeight w:val="58"/>
        </w:trPr>
        <w:tc>
          <w:tcPr>
            <w:tcW w:w="4385" w:type="dxa"/>
            <w:noWrap/>
            <w:hideMark/>
          </w:tcPr>
          <w:p w14:paraId="0F2288B0" w14:textId="4D190782" w:rsidR="009E4A40" w:rsidRPr="0007456C" w:rsidRDefault="00BE1149" w:rsidP="00BE1149">
            <w:pPr>
              <w:rPr>
                <w:rFonts w:eastAsia="Times New Roman" w:cstheme="minorHAnsi"/>
                <w:b/>
                <w:bCs/>
                <w:sz w:val="20"/>
                <w:szCs w:val="20"/>
                <w:lang w:eastAsia="es-MX"/>
              </w:rPr>
            </w:pPr>
            <w:r>
              <w:rPr>
                <w:rFonts w:eastAsia="Times New Roman" w:cstheme="minorHAnsi"/>
                <w:sz w:val="20"/>
                <w:szCs w:val="20"/>
                <w:lang w:eastAsia="es-MX"/>
              </w:rPr>
              <w:t>S</w:t>
            </w:r>
            <w:r w:rsidR="0007456C" w:rsidRPr="0007456C">
              <w:rPr>
                <w:rFonts w:eastAsia="Times New Roman" w:cstheme="minorHAnsi"/>
                <w:sz w:val="20"/>
                <w:szCs w:val="20"/>
                <w:lang w:eastAsia="es-MX"/>
              </w:rPr>
              <w:t>in deterioro cognitivo</w:t>
            </w:r>
          </w:p>
        </w:tc>
        <w:tc>
          <w:tcPr>
            <w:tcW w:w="2551" w:type="dxa"/>
            <w:noWrap/>
            <w:hideMark/>
          </w:tcPr>
          <w:p w14:paraId="3AE28920" w14:textId="7F26DFFB"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49</w:t>
            </w:r>
          </w:p>
        </w:tc>
        <w:tc>
          <w:tcPr>
            <w:tcW w:w="2300" w:type="dxa"/>
            <w:noWrap/>
            <w:hideMark/>
          </w:tcPr>
          <w:p w14:paraId="1FB36B84" w14:textId="65966E82"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42.60%</w:t>
            </w:r>
          </w:p>
        </w:tc>
      </w:tr>
      <w:tr w:rsidR="0007456C" w:rsidRPr="0007456C" w14:paraId="0224519C" w14:textId="77777777" w:rsidTr="000346C9">
        <w:trPr>
          <w:trHeight w:val="116"/>
        </w:trPr>
        <w:tc>
          <w:tcPr>
            <w:tcW w:w="4385" w:type="dxa"/>
            <w:noWrap/>
            <w:hideMark/>
          </w:tcPr>
          <w:p w14:paraId="78EFC9C6" w14:textId="0003E96B" w:rsidR="009E4A40" w:rsidRPr="0007456C" w:rsidRDefault="00BE1149" w:rsidP="00BE1149">
            <w:pPr>
              <w:rPr>
                <w:rFonts w:eastAsia="Times New Roman" w:cstheme="minorHAnsi"/>
                <w:b/>
                <w:bCs/>
                <w:sz w:val="20"/>
                <w:szCs w:val="20"/>
                <w:lang w:eastAsia="es-MX"/>
              </w:rPr>
            </w:pPr>
            <w:r>
              <w:rPr>
                <w:rFonts w:eastAsia="Times New Roman" w:cstheme="minorHAnsi"/>
                <w:sz w:val="20"/>
                <w:szCs w:val="20"/>
                <w:lang w:eastAsia="es-MX"/>
              </w:rPr>
              <w:t>T</w:t>
            </w:r>
            <w:r w:rsidR="0007456C" w:rsidRPr="0007456C">
              <w:rPr>
                <w:rFonts w:eastAsia="Times New Roman" w:cstheme="minorHAnsi"/>
                <w:sz w:val="20"/>
                <w:szCs w:val="20"/>
                <w:lang w:eastAsia="es-MX"/>
              </w:rPr>
              <w:t>otal</w:t>
            </w:r>
          </w:p>
        </w:tc>
        <w:tc>
          <w:tcPr>
            <w:tcW w:w="2551" w:type="dxa"/>
            <w:noWrap/>
            <w:hideMark/>
          </w:tcPr>
          <w:p w14:paraId="221CAAC4" w14:textId="5CDC9418"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115</w:t>
            </w:r>
          </w:p>
        </w:tc>
        <w:tc>
          <w:tcPr>
            <w:tcW w:w="2300" w:type="dxa"/>
            <w:noWrap/>
            <w:hideMark/>
          </w:tcPr>
          <w:p w14:paraId="40CFE22B" w14:textId="0F7BDDA0" w:rsidR="009E4A40"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100</w:t>
            </w:r>
          </w:p>
        </w:tc>
      </w:tr>
      <w:tr w:rsidR="0007456C" w:rsidRPr="005C4E32" w14:paraId="0E6A782E" w14:textId="77777777" w:rsidTr="000346C9">
        <w:trPr>
          <w:trHeight w:val="389"/>
        </w:trPr>
        <w:tc>
          <w:tcPr>
            <w:tcW w:w="9236" w:type="dxa"/>
            <w:gridSpan w:val="3"/>
            <w:noWrap/>
          </w:tcPr>
          <w:p w14:paraId="07573ADC" w14:textId="2E55A98D" w:rsidR="00BE1149" w:rsidRPr="000346C9" w:rsidRDefault="00BE1149" w:rsidP="00FF44A3">
            <w:pPr>
              <w:jc w:val="both"/>
              <w:rPr>
                <w:rFonts w:eastAsia="Arial" w:cstheme="minorHAnsi"/>
                <w:sz w:val="18"/>
                <w:szCs w:val="18"/>
              </w:rPr>
            </w:pPr>
            <w:r w:rsidRPr="000346C9">
              <w:rPr>
                <w:rFonts w:cstheme="minorHAnsi"/>
                <w:b/>
                <w:bCs/>
                <w:sz w:val="18"/>
                <w:szCs w:val="18"/>
                <w:lang w:val="es-MX"/>
              </w:rPr>
              <w:t>Abreviaturas</w:t>
            </w:r>
            <w:r w:rsidRPr="000346C9">
              <w:rPr>
                <w:rFonts w:cstheme="minorHAnsi"/>
                <w:sz w:val="18"/>
                <w:szCs w:val="18"/>
                <w:lang w:val="es-MX"/>
              </w:rPr>
              <w:t xml:space="preserve">. </w:t>
            </w:r>
            <w:r w:rsidR="00F160F9" w:rsidRPr="00F160F9">
              <w:rPr>
                <w:rFonts w:cstheme="minorHAnsi"/>
                <w:b/>
                <w:bCs/>
                <w:sz w:val="18"/>
                <w:szCs w:val="18"/>
                <w:lang w:val="es-MX"/>
              </w:rPr>
              <w:t xml:space="preserve"> UMF 62</w:t>
            </w:r>
            <w:r w:rsidR="00F160F9">
              <w:rPr>
                <w:rFonts w:cstheme="minorHAnsi"/>
                <w:sz w:val="18"/>
                <w:szCs w:val="18"/>
                <w:lang w:val="es-MX"/>
              </w:rPr>
              <w:t xml:space="preserve">, </w:t>
            </w:r>
            <w:r w:rsidR="00F160F9" w:rsidRPr="00DF1B6A">
              <w:rPr>
                <w:rFonts w:cstheme="minorHAnsi"/>
                <w:sz w:val="18"/>
                <w:szCs w:val="18"/>
                <w:lang w:val="es-MX"/>
              </w:rPr>
              <w:t>Unidad de Medicina Familiar número 62</w:t>
            </w:r>
            <w:r w:rsidR="00F160F9">
              <w:rPr>
                <w:rFonts w:cstheme="minorHAnsi"/>
                <w:sz w:val="18"/>
                <w:szCs w:val="18"/>
                <w:lang w:val="es-MX"/>
              </w:rPr>
              <w:t xml:space="preserve">; </w:t>
            </w:r>
            <w:r w:rsidRPr="000346C9">
              <w:rPr>
                <w:rFonts w:cstheme="minorHAnsi"/>
                <w:b/>
                <w:bCs/>
                <w:sz w:val="18"/>
                <w:szCs w:val="18"/>
                <w:lang w:val="es-MX"/>
              </w:rPr>
              <w:t>FC</w:t>
            </w:r>
            <w:r w:rsidRPr="000346C9">
              <w:rPr>
                <w:rFonts w:cstheme="minorHAnsi"/>
                <w:sz w:val="18"/>
                <w:szCs w:val="18"/>
                <w:lang w:val="es-MX"/>
              </w:rPr>
              <w:t xml:space="preserve">, frecuencia; </w:t>
            </w:r>
            <w:r w:rsidRPr="000346C9">
              <w:rPr>
                <w:rFonts w:cstheme="minorHAnsi"/>
                <w:b/>
                <w:bCs/>
                <w:sz w:val="18"/>
                <w:szCs w:val="18"/>
                <w:lang w:val="es-MX"/>
              </w:rPr>
              <w:t>%</w:t>
            </w:r>
            <w:r w:rsidRPr="000346C9">
              <w:rPr>
                <w:rFonts w:cstheme="minorHAnsi"/>
                <w:sz w:val="18"/>
                <w:szCs w:val="18"/>
                <w:lang w:val="es-MX"/>
              </w:rPr>
              <w:t>, porcentaje.</w:t>
            </w:r>
          </w:p>
          <w:p w14:paraId="3D76B780" w14:textId="7846A02E" w:rsidR="009E4A40" w:rsidRPr="0007456C" w:rsidRDefault="00BE1149" w:rsidP="00FF44A3">
            <w:pPr>
              <w:pStyle w:val="Sinespaciado"/>
              <w:rPr>
                <w:rFonts w:cstheme="minorHAnsi"/>
                <w:sz w:val="20"/>
                <w:szCs w:val="20"/>
                <w:lang w:val="es-MX"/>
              </w:rPr>
            </w:pPr>
            <w:r w:rsidRPr="000346C9">
              <w:rPr>
                <w:rFonts w:eastAsia="Arial" w:cstheme="minorHAnsi"/>
                <w:b/>
                <w:bCs/>
                <w:sz w:val="18"/>
                <w:szCs w:val="18"/>
              </w:rPr>
              <w:t>Fuente</w:t>
            </w:r>
            <w:r w:rsidRPr="000346C9">
              <w:rPr>
                <w:rFonts w:eastAsia="Arial" w:cstheme="minorHAnsi"/>
                <w:sz w:val="18"/>
                <w:szCs w:val="18"/>
              </w:rPr>
              <w:t xml:space="preserve">. </w:t>
            </w:r>
            <w:r w:rsidR="00034982" w:rsidRPr="000346C9">
              <w:rPr>
                <w:rFonts w:eastAsia="Arial" w:cstheme="minorHAnsi"/>
                <w:sz w:val="18"/>
                <w:szCs w:val="18"/>
              </w:rPr>
              <w:t>I</w:t>
            </w:r>
            <w:r w:rsidRPr="000346C9">
              <w:rPr>
                <w:rFonts w:eastAsia="Arial" w:cstheme="minorHAnsi"/>
                <w:sz w:val="18"/>
                <w:szCs w:val="18"/>
              </w:rPr>
              <w:t>nstrumento de recolección de datos.</w:t>
            </w:r>
          </w:p>
        </w:tc>
      </w:tr>
    </w:tbl>
    <w:p w14:paraId="5F7326B0" w14:textId="77777777" w:rsidR="00EB425A" w:rsidRPr="0007456C" w:rsidRDefault="00EB425A" w:rsidP="008B55A7">
      <w:pPr>
        <w:jc w:val="both"/>
        <w:rPr>
          <w:rFonts w:asciiTheme="minorHAnsi" w:hAnsiTheme="minorHAnsi" w:cstheme="minorHAnsi"/>
          <w:sz w:val="20"/>
          <w:szCs w:val="20"/>
          <w:lang w:val="es-CR"/>
        </w:rPr>
      </w:pPr>
    </w:p>
    <w:tbl>
      <w:tblPr>
        <w:tblStyle w:val="Tablaconcuadrcula"/>
        <w:tblW w:w="9134" w:type="dxa"/>
        <w:tblCellMar>
          <w:top w:w="28" w:type="dxa"/>
          <w:bottom w:w="28" w:type="dxa"/>
        </w:tblCellMar>
        <w:tblLook w:val="04A0" w:firstRow="1" w:lastRow="0" w:firstColumn="1" w:lastColumn="0" w:noHBand="0" w:noVBand="1"/>
      </w:tblPr>
      <w:tblGrid>
        <w:gridCol w:w="3117"/>
        <w:gridCol w:w="2832"/>
        <w:gridCol w:w="3185"/>
      </w:tblGrid>
      <w:tr w:rsidR="0007456C" w:rsidRPr="005C4E32" w14:paraId="5BB14615" w14:textId="77777777" w:rsidTr="00686289">
        <w:trPr>
          <w:trHeight w:val="100"/>
          <w:tblHeader/>
        </w:trPr>
        <w:tc>
          <w:tcPr>
            <w:tcW w:w="9134" w:type="dxa"/>
            <w:gridSpan w:val="3"/>
            <w:noWrap/>
          </w:tcPr>
          <w:p w14:paraId="23284A26" w14:textId="16C477C6" w:rsidR="0007456C" w:rsidRPr="0007456C" w:rsidRDefault="00BE1149" w:rsidP="00BE1149">
            <w:pPr>
              <w:pStyle w:val="Sinespaciado"/>
              <w:rPr>
                <w:rFonts w:cstheme="minorHAnsi"/>
                <w:sz w:val="20"/>
                <w:szCs w:val="20"/>
                <w:lang w:val="es-MX"/>
              </w:rPr>
            </w:pPr>
            <w:r w:rsidRPr="007D670F">
              <w:rPr>
                <w:rFonts w:cstheme="minorHAnsi"/>
                <w:b/>
                <w:bCs/>
                <w:lang w:val="es-MX"/>
              </w:rPr>
              <w:t>T</w:t>
            </w:r>
            <w:r w:rsidR="0007456C" w:rsidRPr="007D670F">
              <w:rPr>
                <w:rFonts w:cstheme="minorHAnsi"/>
                <w:b/>
                <w:bCs/>
                <w:lang w:val="es-MX"/>
              </w:rPr>
              <w:t>abla 3</w:t>
            </w:r>
            <w:r w:rsidRPr="007D670F">
              <w:rPr>
                <w:rFonts w:cstheme="minorHAnsi"/>
                <w:lang w:val="es-MX"/>
              </w:rPr>
              <w:t>.</w:t>
            </w:r>
            <w:r w:rsidR="0007456C" w:rsidRPr="007D670F">
              <w:rPr>
                <w:rFonts w:cstheme="minorHAnsi"/>
                <w:lang w:val="es-MX"/>
              </w:rPr>
              <w:t xml:space="preserve"> </w:t>
            </w:r>
            <w:r w:rsidRPr="007D670F">
              <w:rPr>
                <w:rFonts w:cstheme="minorHAnsi"/>
                <w:lang w:val="es-MX"/>
              </w:rPr>
              <w:t>C</w:t>
            </w:r>
            <w:r w:rsidR="0007456C" w:rsidRPr="007D670F">
              <w:rPr>
                <w:rFonts w:cstheme="minorHAnsi"/>
                <w:lang w:val="es-MX"/>
              </w:rPr>
              <w:t xml:space="preserve">omorbilidades en pacientes con antecedente de evento vascular cerebral, en la </w:t>
            </w:r>
            <w:r w:rsidR="00200FC2" w:rsidRPr="007D670F">
              <w:rPr>
                <w:rFonts w:cstheme="minorHAnsi"/>
                <w:lang w:val="es-MX"/>
              </w:rPr>
              <w:t>UMF</w:t>
            </w:r>
            <w:r w:rsidR="0007456C" w:rsidRPr="007D670F">
              <w:rPr>
                <w:rFonts w:cstheme="minorHAnsi"/>
                <w:lang w:val="es-MX"/>
              </w:rPr>
              <w:t xml:space="preserve"> 62, 2023</w:t>
            </w:r>
          </w:p>
        </w:tc>
      </w:tr>
      <w:tr w:rsidR="0007456C" w:rsidRPr="0007456C" w14:paraId="32B00294" w14:textId="77777777" w:rsidTr="00686289">
        <w:trPr>
          <w:trHeight w:val="173"/>
          <w:tblHeader/>
        </w:trPr>
        <w:tc>
          <w:tcPr>
            <w:tcW w:w="3117" w:type="dxa"/>
            <w:noWrap/>
            <w:hideMark/>
          </w:tcPr>
          <w:p w14:paraId="3ADA68E6" w14:textId="77777777" w:rsidR="0007456C" w:rsidRPr="0007456C" w:rsidRDefault="0007456C" w:rsidP="00FF44A3">
            <w:pPr>
              <w:jc w:val="center"/>
              <w:rPr>
                <w:rFonts w:eastAsia="Times New Roman" w:cstheme="minorHAnsi"/>
                <w:sz w:val="20"/>
                <w:szCs w:val="20"/>
                <w:lang w:eastAsia="es-MX"/>
              </w:rPr>
            </w:pPr>
          </w:p>
        </w:tc>
        <w:tc>
          <w:tcPr>
            <w:tcW w:w="2832" w:type="dxa"/>
            <w:noWrap/>
            <w:hideMark/>
          </w:tcPr>
          <w:p w14:paraId="67F70E27" w14:textId="5BF763FC" w:rsidR="0007456C" w:rsidRPr="0007456C" w:rsidRDefault="00BE1149"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 xml:space="preserve"> FC</w:t>
            </w:r>
          </w:p>
        </w:tc>
        <w:tc>
          <w:tcPr>
            <w:tcW w:w="3185" w:type="dxa"/>
            <w:noWrap/>
            <w:hideMark/>
          </w:tcPr>
          <w:p w14:paraId="0BE6DCC4" w14:textId="380355E9" w:rsidR="0007456C" w:rsidRPr="0007456C" w:rsidRDefault="00BE1149"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w:t>
            </w:r>
          </w:p>
        </w:tc>
      </w:tr>
      <w:tr w:rsidR="0007456C" w:rsidRPr="0007456C" w14:paraId="61297BCE" w14:textId="77777777" w:rsidTr="000346C9">
        <w:trPr>
          <w:trHeight w:val="115"/>
        </w:trPr>
        <w:tc>
          <w:tcPr>
            <w:tcW w:w="9134" w:type="dxa"/>
            <w:gridSpan w:val="3"/>
            <w:noWrap/>
          </w:tcPr>
          <w:p w14:paraId="255FA429" w14:textId="43DBFE77" w:rsidR="0007456C" w:rsidRPr="00A60B14" w:rsidRDefault="00CE12ED" w:rsidP="00CE12ED">
            <w:pPr>
              <w:rPr>
                <w:rFonts w:eastAsia="Times New Roman" w:cstheme="minorHAnsi"/>
                <w:b/>
                <w:bCs/>
                <w:sz w:val="20"/>
                <w:szCs w:val="20"/>
                <w:lang w:eastAsia="es-MX"/>
              </w:rPr>
            </w:pPr>
            <w:r w:rsidRPr="00A60B14">
              <w:rPr>
                <w:rFonts w:eastAsia="Times New Roman" w:cstheme="minorHAnsi"/>
                <w:b/>
                <w:bCs/>
                <w:sz w:val="20"/>
                <w:szCs w:val="20"/>
                <w:lang w:eastAsia="es-MX"/>
              </w:rPr>
              <w:t>Diabetes Mellitus 2</w:t>
            </w:r>
          </w:p>
        </w:tc>
      </w:tr>
      <w:tr w:rsidR="0007456C" w:rsidRPr="0007456C" w14:paraId="168D4F46" w14:textId="77777777" w:rsidTr="000346C9">
        <w:trPr>
          <w:trHeight w:val="170"/>
        </w:trPr>
        <w:tc>
          <w:tcPr>
            <w:tcW w:w="3117" w:type="dxa"/>
            <w:noWrap/>
            <w:hideMark/>
          </w:tcPr>
          <w:p w14:paraId="0F7F6F8C" w14:textId="3652F204" w:rsidR="0007456C" w:rsidRPr="0007456C" w:rsidRDefault="00CE12ED" w:rsidP="00FF44A3">
            <w:pPr>
              <w:jc w:val="center"/>
              <w:rPr>
                <w:rFonts w:eastAsia="Times New Roman" w:cstheme="minorHAnsi"/>
                <w:sz w:val="20"/>
                <w:szCs w:val="20"/>
                <w:lang w:eastAsia="es-MX"/>
              </w:rPr>
            </w:pPr>
            <w:r>
              <w:rPr>
                <w:rFonts w:eastAsia="Times New Roman" w:cstheme="minorHAnsi"/>
                <w:sz w:val="20"/>
                <w:szCs w:val="20"/>
                <w:lang w:eastAsia="es-MX"/>
              </w:rPr>
              <w:t>P</w:t>
            </w:r>
            <w:r w:rsidR="0007456C" w:rsidRPr="0007456C">
              <w:rPr>
                <w:rFonts w:eastAsia="Times New Roman" w:cstheme="minorHAnsi"/>
                <w:sz w:val="20"/>
                <w:szCs w:val="20"/>
                <w:lang w:eastAsia="es-MX"/>
              </w:rPr>
              <w:t xml:space="preserve">resente </w:t>
            </w:r>
          </w:p>
        </w:tc>
        <w:tc>
          <w:tcPr>
            <w:tcW w:w="2832" w:type="dxa"/>
            <w:noWrap/>
            <w:hideMark/>
          </w:tcPr>
          <w:p w14:paraId="26E6FBF1" w14:textId="6BF7A6A0"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91</w:t>
            </w:r>
          </w:p>
        </w:tc>
        <w:tc>
          <w:tcPr>
            <w:tcW w:w="3185" w:type="dxa"/>
            <w:noWrap/>
            <w:hideMark/>
          </w:tcPr>
          <w:p w14:paraId="065C1B3B" w14:textId="68EB9889"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79.13</w:t>
            </w:r>
          </w:p>
        </w:tc>
      </w:tr>
      <w:tr w:rsidR="0007456C" w:rsidRPr="0007456C" w14:paraId="454FFE86" w14:textId="77777777" w:rsidTr="000346C9">
        <w:trPr>
          <w:trHeight w:val="95"/>
        </w:trPr>
        <w:tc>
          <w:tcPr>
            <w:tcW w:w="3117" w:type="dxa"/>
            <w:noWrap/>
            <w:hideMark/>
          </w:tcPr>
          <w:p w14:paraId="4626E3AE" w14:textId="5DAC10E0" w:rsidR="0007456C" w:rsidRPr="0007456C" w:rsidRDefault="00CE12ED" w:rsidP="00FF44A3">
            <w:pPr>
              <w:jc w:val="center"/>
              <w:rPr>
                <w:rFonts w:eastAsia="Times New Roman" w:cstheme="minorHAnsi"/>
                <w:sz w:val="20"/>
                <w:szCs w:val="20"/>
                <w:lang w:eastAsia="es-MX"/>
              </w:rPr>
            </w:pPr>
            <w:r>
              <w:rPr>
                <w:rFonts w:eastAsia="Times New Roman" w:cstheme="minorHAnsi"/>
                <w:sz w:val="20"/>
                <w:szCs w:val="20"/>
                <w:lang w:eastAsia="es-MX"/>
              </w:rPr>
              <w:t>A</w:t>
            </w:r>
            <w:r w:rsidR="0007456C" w:rsidRPr="0007456C">
              <w:rPr>
                <w:rFonts w:eastAsia="Times New Roman" w:cstheme="minorHAnsi"/>
                <w:sz w:val="20"/>
                <w:szCs w:val="20"/>
                <w:lang w:eastAsia="es-MX"/>
              </w:rPr>
              <w:t xml:space="preserve">usente </w:t>
            </w:r>
          </w:p>
        </w:tc>
        <w:tc>
          <w:tcPr>
            <w:tcW w:w="2832" w:type="dxa"/>
            <w:noWrap/>
            <w:hideMark/>
          </w:tcPr>
          <w:p w14:paraId="5CF96D57" w14:textId="0CA4B821"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24</w:t>
            </w:r>
          </w:p>
        </w:tc>
        <w:tc>
          <w:tcPr>
            <w:tcW w:w="3185" w:type="dxa"/>
            <w:noWrap/>
            <w:hideMark/>
          </w:tcPr>
          <w:p w14:paraId="67E4885B" w14:textId="63346D3E"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20.87</w:t>
            </w:r>
          </w:p>
        </w:tc>
      </w:tr>
      <w:tr w:rsidR="0007456C" w:rsidRPr="0007456C" w14:paraId="55388A11" w14:textId="77777777" w:rsidTr="000346C9">
        <w:trPr>
          <w:trHeight w:val="150"/>
        </w:trPr>
        <w:tc>
          <w:tcPr>
            <w:tcW w:w="9134" w:type="dxa"/>
            <w:gridSpan w:val="3"/>
            <w:noWrap/>
          </w:tcPr>
          <w:p w14:paraId="28E43100" w14:textId="7E2669CC" w:rsidR="0007456C" w:rsidRPr="00A60B14" w:rsidRDefault="00CE12ED" w:rsidP="00CE12ED">
            <w:pPr>
              <w:rPr>
                <w:rFonts w:eastAsia="Times New Roman" w:cstheme="minorHAnsi"/>
                <w:b/>
                <w:bCs/>
                <w:sz w:val="20"/>
                <w:szCs w:val="20"/>
                <w:lang w:eastAsia="es-MX"/>
              </w:rPr>
            </w:pPr>
            <w:r w:rsidRPr="00A60B14">
              <w:rPr>
                <w:rFonts w:eastAsia="Times New Roman" w:cstheme="minorHAnsi"/>
                <w:b/>
                <w:bCs/>
                <w:sz w:val="20"/>
                <w:szCs w:val="20"/>
                <w:lang w:eastAsia="es-MX"/>
              </w:rPr>
              <w:t>Hipertensión arterial sistémica</w:t>
            </w:r>
          </w:p>
        </w:tc>
      </w:tr>
      <w:tr w:rsidR="0007456C" w:rsidRPr="0007456C" w14:paraId="7BD4D766" w14:textId="77777777" w:rsidTr="000346C9">
        <w:trPr>
          <w:trHeight w:val="96"/>
        </w:trPr>
        <w:tc>
          <w:tcPr>
            <w:tcW w:w="3117" w:type="dxa"/>
            <w:noWrap/>
          </w:tcPr>
          <w:p w14:paraId="7515896F" w14:textId="12A79B67" w:rsidR="0007456C" w:rsidRPr="0007456C" w:rsidRDefault="00CE12ED" w:rsidP="00FF44A3">
            <w:pPr>
              <w:jc w:val="center"/>
              <w:rPr>
                <w:rFonts w:eastAsia="Times New Roman" w:cstheme="minorHAnsi"/>
                <w:sz w:val="20"/>
                <w:szCs w:val="20"/>
                <w:lang w:eastAsia="es-MX"/>
              </w:rPr>
            </w:pPr>
            <w:r>
              <w:rPr>
                <w:rFonts w:eastAsia="Times New Roman" w:cstheme="minorHAnsi"/>
                <w:sz w:val="20"/>
                <w:szCs w:val="20"/>
                <w:lang w:eastAsia="es-MX"/>
              </w:rPr>
              <w:t>P</w:t>
            </w:r>
            <w:r w:rsidR="0007456C" w:rsidRPr="0007456C">
              <w:rPr>
                <w:rFonts w:eastAsia="Times New Roman" w:cstheme="minorHAnsi"/>
                <w:sz w:val="20"/>
                <w:szCs w:val="20"/>
                <w:lang w:eastAsia="es-MX"/>
              </w:rPr>
              <w:t xml:space="preserve">resente </w:t>
            </w:r>
          </w:p>
        </w:tc>
        <w:tc>
          <w:tcPr>
            <w:tcW w:w="2832" w:type="dxa"/>
            <w:noWrap/>
          </w:tcPr>
          <w:p w14:paraId="564670AB" w14:textId="4A33388F"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90</w:t>
            </w:r>
          </w:p>
        </w:tc>
        <w:tc>
          <w:tcPr>
            <w:tcW w:w="3185" w:type="dxa"/>
            <w:noWrap/>
          </w:tcPr>
          <w:p w14:paraId="675D2803" w14:textId="68A94F30"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78.3</w:t>
            </w:r>
          </w:p>
        </w:tc>
      </w:tr>
      <w:tr w:rsidR="0007456C" w:rsidRPr="0007456C" w14:paraId="08841439" w14:textId="77777777" w:rsidTr="000346C9">
        <w:trPr>
          <w:trHeight w:val="117"/>
        </w:trPr>
        <w:tc>
          <w:tcPr>
            <w:tcW w:w="3117" w:type="dxa"/>
            <w:noWrap/>
          </w:tcPr>
          <w:p w14:paraId="2F585BDE" w14:textId="0915F680" w:rsidR="0007456C" w:rsidRPr="0007456C" w:rsidRDefault="00CE12ED" w:rsidP="00FF44A3">
            <w:pPr>
              <w:jc w:val="center"/>
              <w:rPr>
                <w:rFonts w:eastAsia="Times New Roman" w:cstheme="minorHAnsi"/>
                <w:sz w:val="20"/>
                <w:szCs w:val="20"/>
                <w:lang w:eastAsia="es-MX"/>
              </w:rPr>
            </w:pPr>
            <w:r>
              <w:rPr>
                <w:rFonts w:eastAsia="Times New Roman" w:cstheme="minorHAnsi"/>
                <w:sz w:val="20"/>
                <w:szCs w:val="20"/>
                <w:lang w:eastAsia="es-MX"/>
              </w:rPr>
              <w:t>A</w:t>
            </w:r>
            <w:r w:rsidR="0007456C" w:rsidRPr="0007456C">
              <w:rPr>
                <w:rFonts w:eastAsia="Times New Roman" w:cstheme="minorHAnsi"/>
                <w:sz w:val="20"/>
                <w:szCs w:val="20"/>
                <w:lang w:eastAsia="es-MX"/>
              </w:rPr>
              <w:t xml:space="preserve">usente </w:t>
            </w:r>
          </w:p>
        </w:tc>
        <w:tc>
          <w:tcPr>
            <w:tcW w:w="2832" w:type="dxa"/>
            <w:noWrap/>
          </w:tcPr>
          <w:p w14:paraId="6BC91835" w14:textId="742B2F27"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25</w:t>
            </w:r>
          </w:p>
        </w:tc>
        <w:tc>
          <w:tcPr>
            <w:tcW w:w="3185" w:type="dxa"/>
            <w:noWrap/>
          </w:tcPr>
          <w:p w14:paraId="1CB28AD0" w14:textId="61881C55"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21.7</w:t>
            </w:r>
          </w:p>
        </w:tc>
      </w:tr>
      <w:tr w:rsidR="0007456C" w:rsidRPr="0007456C" w14:paraId="7570F2FB" w14:textId="77777777" w:rsidTr="000346C9">
        <w:trPr>
          <w:trHeight w:val="114"/>
        </w:trPr>
        <w:tc>
          <w:tcPr>
            <w:tcW w:w="9134" w:type="dxa"/>
            <w:gridSpan w:val="3"/>
            <w:noWrap/>
          </w:tcPr>
          <w:p w14:paraId="475DD2E8" w14:textId="2E971D36" w:rsidR="0007456C" w:rsidRPr="00A60B14" w:rsidRDefault="00CE12ED" w:rsidP="00CE12ED">
            <w:pPr>
              <w:rPr>
                <w:rFonts w:eastAsia="Times New Roman" w:cstheme="minorHAnsi"/>
                <w:b/>
                <w:bCs/>
                <w:sz w:val="20"/>
                <w:szCs w:val="20"/>
                <w:lang w:eastAsia="es-MX"/>
              </w:rPr>
            </w:pPr>
            <w:r w:rsidRPr="00A60B14">
              <w:rPr>
                <w:rFonts w:eastAsia="Times New Roman" w:cstheme="minorHAnsi"/>
                <w:b/>
                <w:bCs/>
                <w:sz w:val="20"/>
                <w:szCs w:val="20"/>
                <w:lang w:eastAsia="es-MX"/>
              </w:rPr>
              <w:t>T</w:t>
            </w:r>
            <w:r w:rsidR="0007456C" w:rsidRPr="00A60B14">
              <w:rPr>
                <w:rFonts w:eastAsia="Times New Roman" w:cstheme="minorHAnsi"/>
                <w:b/>
                <w:bCs/>
                <w:sz w:val="20"/>
                <w:szCs w:val="20"/>
                <w:lang w:eastAsia="es-MX"/>
              </w:rPr>
              <w:t>abaquismo</w:t>
            </w:r>
          </w:p>
        </w:tc>
      </w:tr>
      <w:tr w:rsidR="0007456C" w:rsidRPr="0007456C" w14:paraId="19A6AF67" w14:textId="77777777" w:rsidTr="000346C9">
        <w:trPr>
          <w:trHeight w:val="114"/>
        </w:trPr>
        <w:tc>
          <w:tcPr>
            <w:tcW w:w="3117" w:type="dxa"/>
            <w:noWrap/>
          </w:tcPr>
          <w:p w14:paraId="09268C2F" w14:textId="0C113E60" w:rsidR="0007456C" w:rsidRPr="0007456C" w:rsidRDefault="002E69AE" w:rsidP="00FF44A3">
            <w:pPr>
              <w:tabs>
                <w:tab w:val="left" w:pos="2016"/>
              </w:tabs>
              <w:jc w:val="center"/>
              <w:rPr>
                <w:rFonts w:eastAsia="Times New Roman" w:cstheme="minorHAnsi"/>
                <w:b/>
                <w:bCs/>
                <w:sz w:val="20"/>
                <w:szCs w:val="20"/>
                <w:lang w:eastAsia="es-MX"/>
              </w:rPr>
            </w:pPr>
            <w:r>
              <w:rPr>
                <w:rFonts w:eastAsia="Times New Roman" w:cstheme="minorHAnsi"/>
                <w:sz w:val="20"/>
                <w:szCs w:val="20"/>
                <w:lang w:eastAsia="es-MX"/>
              </w:rPr>
              <w:t>P</w:t>
            </w:r>
            <w:r w:rsidR="0007456C" w:rsidRPr="0007456C">
              <w:rPr>
                <w:rFonts w:eastAsia="Times New Roman" w:cstheme="minorHAnsi"/>
                <w:sz w:val="20"/>
                <w:szCs w:val="20"/>
                <w:lang w:eastAsia="es-MX"/>
              </w:rPr>
              <w:t>resente</w:t>
            </w:r>
          </w:p>
        </w:tc>
        <w:tc>
          <w:tcPr>
            <w:tcW w:w="2832" w:type="dxa"/>
          </w:tcPr>
          <w:p w14:paraId="26DCAA70" w14:textId="112A127D"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31</w:t>
            </w:r>
          </w:p>
        </w:tc>
        <w:tc>
          <w:tcPr>
            <w:tcW w:w="3185" w:type="dxa"/>
          </w:tcPr>
          <w:p w14:paraId="7A834979" w14:textId="1B11422B"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27</w:t>
            </w:r>
          </w:p>
        </w:tc>
      </w:tr>
      <w:tr w:rsidR="0007456C" w:rsidRPr="0007456C" w14:paraId="4CAD20F6" w14:textId="77777777" w:rsidTr="000346C9">
        <w:trPr>
          <w:trHeight w:val="114"/>
        </w:trPr>
        <w:tc>
          <w:tcPr>
            <w:tcW w:w="3117" w:type="dxa"/>
            <w:noWrap/>
          </w:tcPr>
          <w:p w14:paraId="2AA3D36B" w14:textId="70D82B1B" w:rsidR="0007456C" w:rsidRPr="0007456C" w:rsidRDefault="002E69AE" w:rsidP="00FF44A3">
            <w:pPr>
              <w:tabs>
                <w:tab w:val="left" w:pos="2016"/>
              </w:tabs>
              <w:jc w:val="center"/>
              <w:rPr>
                <w:rFonts w:eastAsia="Times New Roman" w:cstheme="minorHAnsi"/>
                <w:b/>
                <w:bCs/>
                <w:sz w:val="20"/>
                <w:szCs w:val="20"/>
                <w:lang w:eastAsia="es-MX"/>
              </w:rPr>
            </w:pPr>
            <w:r>
              <w:rPr>
                <w:rFonts w:eastAsia="Times New Roman" w:cstheme="minorHAnsi"/>
                <w:sz w:val="20"/>
                <w:szCs w:val="20"/>
                <w:lang w:eastAsia="es-MX"/>
              </w:rPr>
              <w:t>A</w:t>
            </w:r>
            <w:r w:rsidR="0007456C" w:rsidRPr="0007456C">
              <w:rPr>
                <w:rFonts w:eastAsia="Times New Roman" w:cstheme="minorHAnsi"/>
                <w:sz w:val="20"/>
                <w:szCs w:val="20"/>
                <w:lang w:eastAsia="es-MX"/>
              </w:rPr>
              <w:t>usente</w:t>
            </w:r>
          </w:p>
        </w:tc>
        <w:tc>
          <w:tcPr>
            <w:tcW w:w="2832" w:type="dxa"/>
          </w:tcPr>
          <w:p w14:paraId="69F270E8" w14:textId="6DBAFDB9"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84</w:t>
            </w:r>
          </w:p>
        </w:tc>
        <w:tc>
          <w:tcPr>
            <w:tcW w:w="3185" w:type="dxa"/>
          </w:tcPr>
          <w:p w14:paraId="14E26799" w14:textId="77B8D8C6"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73</w:t>
            </w:r>
          </w:p>
        </w:tc>
      </w:tr>
      <w:tr w:rsidR="0007456C" w:rsidRPr="0007456C" w14:paraId="44887F25" w14:textId="77777777" w:rsidTr="000346C9">
        <w:trPr>
          <w:trHeight w:val="114"/>
        </w:trPr>
        <w:tc>
          <w:tcPr>
            <w:tcW w:w="9134" w:type="dxa"/>
            <w:gridSpan w:val="3"/>
            <w:noWrap/>
          </w:tcPr>
          <w:p w14:paraId="28D6690A" w14:textId="1AF20906" w:rsidR="0007456C" w:rsidRPr="00A60B14" w:rsidRDefault="00CA2EEB" w:rsidP="00CA2EEB">
            <w:pPr>
              <w:rPr>
                <w:rFonts w:eastAsia="Times New Roman" w:cstheme="minorHAnsi"/>
                <w:b/>
                <w:bCs/>
                <w:sz w:val="20"/>
                <w:szCs w:val="20"/>
                <w:lang w:eastAsia="es-MX"/>
              </w:rPr>
            </w:pPr>
            <w:r w:rsidRPr="00A60B14">
              <w:rPr>
                <w:rFonts w:eastAsia="Times New Roman" w:cstheme="minorHAnsi"/>
                <w:b/>
                <w:bCs/>
                <w:sz w:val="20"/>
                <w:szCs w:val="20"/>
                <w:lang w:eastAsia="es-MX"/>
              </w:rPr>
              <w:t>IMC</w:t>
            </w:r>
          </w:p>
        </w:tc>
      </w:tr>
      <w:tr w:rsidR="0007456C" w:rsidRPr="0007456C" w14:paraId="1DEDD0CE" w14:textId="77777777" w:rsidTr="000346C9">
        <w:trPr>
          <w:trHeight w:val="114"/>
        </w:trPr>
        <w:tc>
          <w:tcPr>
            <w:tcW w:w="3117" w:type="dxa"/>
            <w:noWrap/>
          </w:tcPr>
          <w:p w14:paraId="43829877" w14:textId="3A8B915C" w:rsidR="0007456C" w:rsidRPr="0007456C" w:rsidRDefault="002E69AE" w:rsidP="00FF44A3">
            <w:pPr>
              <w:jc w:val="center"/>
              <w:rPr>
                <w:rFonts w:eastAsia="Times New Roman" w:cstheme="minorHAnsi"/>
                <w:b/>
                <w:bCs/>
                <w:sz w:val="20"/>
                <w:szCs w:val="20"/>
                <w:lang w:eastAsia="es-MX"/>
              </w:rPr>
            </w:pPr>
            <w:r>
              <w:rPr>
                <w:rFonts w:eastAsia="Times New Roman" w:cstheme="minorHAnsi"/>
                <w:sz w:val="20"/>
                <w:szCs w:val="20"/>
                <w:lang w:eastAsia="es-MX"/>
              </w:rPr>
              <w:t>B</w:t>
            </w:r>
            <w:r w:rsidR="0007456C" w:rsidRPr="0007456C">
              <w:rPr>
                <w:rFonts w:eastAsia="Times New Roman" w:cstheme="minorHAnsi"/>
                <w:sz w:val="20"/>
                <w:szCs w:val="20"/>
                <w:lang w:eastAsia="es-MX"/>
              </w:rPr>
              <w:t>ajo peso</w:t>
            </w:r>
          </w:p>
        </w:tc>
        <w:tc>
          <w:tcPr>
            <w:tcW w:w="2832" w:type="dxa"/>
          </w:tcPr>
          <w:p w14:paraId="041FE7E6" w14:textId="6A8C317C"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5</w:t>
            </w:r>
          </w:p>
        </w:tc>
        <w:tc>
          <w:tcPr>
            <w:tcW w:w="3185" w:type="dxa"/>
          </w:tcPr>
          <w:p w14:paraId="57100DCA" w14:textId="595AEC0C"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w:t>
            </w:r>
          </w:p>
        </w:tc>
      </w:tr>
      <w:tr w:rsidR="0007456C" w:rsidRPr="0007456C" w14:paraId="2CED7AB4" w14:textId="77777777" w:rsidTr="000346C9">
        <w:trPr>
          <w:trHeight w:val="114"/>
        </w:trPr>
        <w:tc>
          <w:tcPr>
            <w:tcW w:w="3117" w:type="dxa"/>
            <w:noWrap/>
          </w:tcPr>
          <w:p w14:paraId="4770412F" w14:textId="187E0D2E" w:rsidR="0007456C" w:rsidRPr="0007456C" w:rsidRDefault="002E69AE" w:rsidP="00FF44A3">
            <w:pPr>
              <w:jc w:val="center"/>
              <w:rPr>
                <w:rFonts w:eastAsia="Times New Roman" w:cstheme="minorHAnsi"/>
                <w:b/>
                <w:bCs/>
                <w:sz w:val="20"/>
                <w:szCs w:val="20"/>
                <w:lang w:eastAsia="es-MX"/>
              </w:rPr>
            </w:pPr>
            <w:r>
              <w:rPr>
                <w:rFonts w:eastAsia="Times New Roman" w:cstheme="minorHAnsi"/>
                <w:sz w:val="20"/>
                <w:szCs w:val="20"/>
                <w:lang w:eastAsia="es-MX"/>
              </w:rPr>
              <w:t>N</w:t>
            </w:r>
            <w:r w:rsidR="0007456C" w:rsidRPr="0007456C">
              <w:rPr>
                <w:rFonts w:eastAsia="Times New Roman" w:cstheme="minorHAnsi"/>
                <w:sz w:val="20"/>
                <w:szCs w:val="20"/>
                <w:lang w:eastAsia="es-MX"/>
              </w:rPr>
              <w:t>ormal</w:t>
            </w:r>
          </w:p>
        </w:tc>
        <w:tc>
          <w:tcPr>
            <w:tcW w:w="2832" w:type="dxa"/>
          </w:tcPr>
          <w:p w14:paraId="38817374" w14:textId="322DCE15"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19</w:t>
            </w:r>
          </w:p>
        </w:tc>
        <w:tc>
          <w:tcPr>
            <w:tcW w:w="3185" w:type="dxa"/>
          </w:tcPr>
          <w:p w14:paraId="5936F8A3" w14:textId="37E978DF"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16.5</w:t>
            </w:r>
          </w:p>
        </w:tc>
      </w:tr>
      <w:tr w:rsidR="0007456C" w:rsidRPr="0007456C" w14:paraId="15F3FA4B" w14:textId="77777777" w:rsidTr="000346C9">
        <w:trPr>
          <w:trHeight w:val="114"/>
        </w:trPr>
        <w:tc>
          <w:tcPr>
            <w:tcW w:w="3117" w:type="dxa"/>
            <w:noWrap/>
          </w:tcPr>
          <w:p w14:paraId="2D891E0A" w14:textId="57115315" w:rsidR="0007456C" w:rsidRPr="0007456C" w:rsidRDefault="002E69AE" w:rsidP="00FF44A3">
            <w:pPr>
              <w:jc w:val="center"/>
              <w:rPr>
                <w:rFonts w:eastAsia="Times New Roman" w:cstheme="minorHAnsi"/>
                <w:b/>
                <w:bCs/>
                <w:sz w:val="20"/>
                <w:szCs w:val="20"/>
                <w:lang w:eastAsia="es-MX"/>
              </w:rPr>
            </w:pPr>
            <w:r>
              <w:rPr>
                <w:rFonts w:eastAsia="Times New Roman" w:cstheme="minorHAnsi"/>
                <w:sz w:val="20"/>
                <w:szCs w:val="20"/>
                <w:lang w:eastAsia="es-MX"/>
              </w:rPr>
              <w:t>S</w:t>
            </w:r>
            <w:r w:rsidR="0007456C" w:rsidRPr="0007456C">
              <w:rPr>
                <w:rFonts w:eastAsia="Times New Roman" w:cstheme="minorHAnsi"/>
                <w:sz w:val="20"/>
                <w:szCs w:val="20"/>
                <w:lang w:eastAsia="es-MX"/>
              </w:rPr>
              <w:t>obrepeso</w:t>
            </w:r>
          </w:p>
        </w:tc>
        <w:tc>
          <w:tcPr>
            <w:tcW w:w="2832" w:type="dxa"/>
          </w:tcPr>
          <w:p w14:paraId="00522686" w14:textId="396F46C5"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45</w:t>
            </w:r>
          </w:p>
        </w:tc>
        <w:tc>
          <w:tcPr>
            <w:tcW w:w="3185" w:type="dxa"/>
          </w:tcPr>
          <w:p w14:paraId="6A9CA1B1" w14:textId="3DAF548E"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39.5</w:t>
            </w:r>
          </w:p>
        </w:tc>
      </w:tr>
      <w:tr w:rsidR="0007456C" w:rsidRPr="0007456C" w14:paraId="4C88BE8F" w14:textId="77777777" w:rsidTr="000346C9">
        <w:trPr>
          <w:trHeight w:val="114"/>
        </w:trPr>
        <w:tc>
          <w:tcPr>
            <w:tcW w:w="3117" w:type="dxa"/>
            <w:noWrap/>
          </w:tcPr>
          <w:p w14:paraId="4BD5BBD4" w14:textId="664D1CDF" w:rsidR="0007456C" w:rsidRPr="0007456C" w:rsidRDefault="002E69AE" w:rsidP="00FF44A3">
            <w:pPr>
              <w:jc w:val="center"/>
              <w:rPr>
                <w:rFonts w:eastAsia="Times New Roman" w:cstheme="minorHAnsi"/>
                <w:b/>
                <w:bCs/>
                <w:sz w:val="20"/>
                <w:szCs w:val="20"/>
                <w:lang w:eastAsia="es-MX"/>
              </w:rPr>
            </w:pPr>
            <w:r>
              <w:rPr>
                <w:rFonts w:eastAsia="Times New Roman" w:cstheme="minorHAnsi"/>
                <w:sz w:val="20"/>
                <w:szCs w:val="20"/>
                <w:lang w:eastAsia="es-MX"/>
              </w:rPr>
              <w:lastRenderedPageBreak/>
              <w:t>O</w:t>
            </w:r>
            <w:r w:rsidR="0007456C" w:rsidRPr="0007456C">
              <w:rPr>
                <w:rFonts w:eastAsia="Times New Roman" w:cstheme="minorHAnsi"/>
                <w:sz w:val="20"/>
                <w:szCs w:val="20"/>
                <w:lang w:eastAsia="es-MX"/>
              </w:rPr>
              <w:t>besidad</w:t>
            </w:r>
          </w:p>
        </w:tc>
        <w:tc>
          <w:tcPr>
            <w:tcW w:w="2832" w:type="dxa"/>
          </w:tcPr>
          <w:p w14:paraId="619390C6" w14:textId="506D2A15" w:rsidR="0007456C" w:rsidRPr="0007456C" w:rsidRDefault="0007456C"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46</w:t>
            </w:r>
          </w:p>
        </w:tc>
        <w:tc>
          <w:tcPr>
            <w:tcW w:w="3185" w:type="dxa"/>
          </w:tcPr>
          <w:p w14:paraId="7525F72F" w14:textId="6654C9AC" w:rsidR="0007456C" w:rsidRPr="0007456C" w:rsidRDefault="0007456C" w:rsidP="00FF44A3">
            <w:pPr>
              <w:jc w:val="center"/>
              <w:rPr>
                <w:rFonts w:eastAsia="Times New Roman" w:cstheme="minorHAnsi"/>
                <w:sz w:val="20"/>
                <w:szCs w:val="20"/>
                <w:lang w:eastAsia="es-MX"/>
              </w:rPr>
            </w:pPr>
            <w:r w:rsidRPr="0007456C">
              <w:rPr>
                <w:rFonts w:eastAsia="Times New Roman" w:cstheme="minorHAnsi"/>
                <w:sz w:val="20"/>
                <w:szCs w:val="20"/>
                <w:lang w:eastAsia="es-MX"/>
              </w:rPr>
              <w:t>40</w:t>
            </w:r>
          </w:p>
        </w:tc>
      </w:tr>
      <w:tr w:rsidR="0007456C" w:rsidRPr="005C4E32" w14:paraId="45BE20E9" w14:textId="77777777" w:rsidTr="000346C9">
        <w:trPr>
          <w:trHeight w:val="114"/>
        </w:trPr>
        <w:tc>
          <w:tcPr>
            <w:tcW w:w="9134" w:type="dxa"/>
            <w:gridSpan w:val="3"/>
            <w:noWrap/>
          </w:tcPr>
          <w:p w14:paraId="4A2D30FE" w14:textId="352C3474" w:rsidR="00034982" w:rsidRPr="007D670F" w:rsidRDefault="00034982" w:rsidP="00034982">
            <w:pPr>
              <w:jc w:val="both"/>
              <w:rPr>
                <w:rFonts w:eastAsia="Arial" w:cstheme="minorHAnsi"/>
                <w:sz w:val="18"/>
                <w:szCs w:val="18"/>
              </w:rPr>
            </w:pPr>
            <w:r w:rsidRPr="007D670F">
              <w:rPr>
                <w:rFonts w:eastAsia="Arial" w:cstheme="minorHAnsi"/>
                <w:b/>
                <w:bCs/>
                <w:sz w:val="18"/>
                <w:szCs w:val="18"/>
              </w:rPr>
              <w:t>Abreviaturas</w:t>
            </w:r>
            <w:r w:rsidRPr="007D670F">
              <w:rPr>
                <w:rFonts w:eastAsia="Arial" w:cstheme="minorHAnsi"/>
                <w:sz w:val="18"/>
                <w:szCs w:val="18"/>
              </w:rPr>
              <w:t xml:space="preserve">. </w:t>
            </w:r>
            <w:r w:rsidR="00F160F9" w:rsidRPr="00F160F9">
              <w:rPr>
                <w:rFonts w:cstheme="minorHAnsi"/>
                <w:b/>
                <w:bCs/>
                <w:sz w:val="18"/>
                <w:szCs w:val="18"/>
                <w:lang w:val="es-MX"/>
              </w:rPr>
              <w:t>UMF 62</w:t>
            </w:r>
            <w:r w:rsidR="00F160F9">
              <w:rPr>
                <w:rFonts w:cstheme="minorHAnsi"/>
                <w:sz w:val="18"/>
                <w:szCs w:val="18"/>
                <w:lang w:val="es-MX"/>
              </w:rPr>
              <w:t xml:space="preserve">, </w:t>
            </w:r>
            <w:r w:rsidR="00F160F9" w:rsidRPr="00DF1B6A">
              <w:rPr>
                <w:rFonts w:cstheme="minorHAnsi"/>
                <w:sz w:val="18"/>
                <w:szCs w:val="18"/>
                <w:lang w:val="es-MX"/>
              </w:rPr>
              <w:t>Unidad de Medicina Familiar número 62</w:t>
            </w:r>
            <w:r w:rsidR="00F160F9">
              <w:rPr>
                <w:rFonts w:cstheme="minorHAnsi"/>
                <w:sz w:val="18"/>
                <w:szCs w:val="18"/>
                <w:lang w:val="es-MX"/>
              </w:rPr>
              <w:t xml:space="preserve">; </w:t>
            </w:r>
            <w:r w:rsidRPr="007D670F">
              <w:rPr>
                <w:rFonts w:eastAsia="Arial" w:cstheme="minorHAnsi"/>
                <w:b/>
                <w:bCs/>
                <w:sz w:val="18"/>
                <w:szCs w:val="18"/>
              </w:rPr>
              <w:t>FC</w:t>
            </w:r>
            <w:r w:rsidRPr="007D670F">
              <w:rPr>
                <w:rFonts w:eastAsia="Arial" w:cstheme="minorHAnsi"/>
                <w:sz w:val="18"/>
                <w:szCs w:val="18"/>
              </w:rPr>
              <w:t xml:space="preserve">, frecuencia; </w:t>
            </w:r>
            <w:r w:rsidRPr="007D670F">
              <w:rPr>
                <w:rFonts w:eastAsia="Arial" w:cstheme="minorHAnsi"/>
                <w:b/>
                <w:bCs/>
                <w:sz w:val="18"/>
                <w:szCs w:val="18"/>
              </w:rPr>
              <w:t>%</w:t>
            </w:r>
            <w:r w:rsidRPr="007D670F">
              <w:rPr>
                <w:rFonts w:eastAsia="Arial" w:cstheme="minorHAnsi"/>
                <w:sz w:val="18"/>
                <w:szCs w:val="18"/>
              </w:rPr>
              <w:t>, porcentaje</w:t>
            </w:r>
            <w:r w:rsidR="00B36BC2" w:rsidRPr="007D670F">
              <w:rPr>
                <w:rFonts w:eastAsia="Arial" w:cstheme="minorHAnsi"/>
                <w:sz w:val="18"/>
                <w:szCs w:val="18"/>
              </w:rPr>
              <w:t xml:space="preserve">; </w:t>
            </w:r>
            <w:r w:rsidR="00B36BC2" w:rsidRPr="007D670F">
              <w:rPr>
                <w:rFonts w:cstheme="minorHAnsi"/>
                <w:b/>
                <w:bCs/>
                <w:sz w:val="18"/>
                <w:szCs w:val="18"/>
              </w:rPr>
              <w:t>IMC</w:t>
            </w:r>
            <w:r w:rsidR="00B36BC2" w:rsidRPr="007D670F">
              <w:rPr>
                <w:rFonts w:cstheme="minorHAnsi"/>
                <w:sz w:val="18"/>
                <w:szCs w:val="18"/>
              </w:rPr>
              <w:t xml:space="preserve">, </w:t>
            </w:r>
            <w:r w:rsidR="007D670F" w:rsidRPr="007D670F">
              <w:rPr>
                <w:rFonts w:cstheme="minorHAnsi"/>
                <w:sz w:val="18"/>
                <w:szCs w:val="18"/>
              </w:rPr>
              <w:t>índice</w:t>
            </w:r>
            <w:r w:rsidR="00B36BC2" w:rsidRPr="007D670F">
              <w:rPr>
                <w:rFonts w:cstheme="minorHAnsi"/>
                <w:sz w:val="18"/>
                <w:szCs w:val="18"/>
              </w:rPr>
              <w:t xml:space="preserve"> de masa corporal.</w:t>
            </w:r>
          </w:p>
          <w:p w14:paraId="3AF78BE2" w14:textId="1C629AC4" w:rsidR="0007456C" w:rsidRPr="00B36BC2" w:rsidRDefault="00034982" w:rsidP="00B36BC2">
            <w:pPr>
              <w:jc w:val="both"/>
              <w:rPr>
                <w:rFonts w:eastAsia="Arial" w:cstheme="minorHAnsi"/>
                <w:sz w:val="20"/>
                <w:szCs w:val="20"/>
              </w:rPr>
            </w:pPr>
            <w:r w:rsidRPr="007D670F">
              <w:rPr>
                <w:rFonts w:eastAsia="Arial" w:cstheme="minorHAnsi"/>
                <w:b/>
                <w:bCs/>
                <w:sz w:val="18"/>
                <w:szCs w:val="18"/>
              </w:rPr>
              <w:t>Fuente</w:t>
            </w:r>
            <w:r w:rsidRPr="007D670F">
              <w:rPr>
                <w:rFonts w:eastAsia="Arial" w:cstheme="minorHAnsi"/>
                <w:sz w:val="18"/>
                <w:szCs w:val="18"/>
              </w:rPr>
              <w:t>. Instrumento de recolección de datos</w:t>
            </w:r>
            <w:r w:rsidR="00B36BC2" w:rsidRPr="007D670F">
              <w:rPr>
                <w:rFonts w:eastAsia="Arial" w:cstheme="minorHAnsi"/>
                <w:sz w:val="18"/>
                <w:szCs w:val="18"/>
              </w:rPr>
              <w:t>, n=115</w:t>
            </w:r>
            <w:r w:rsidR="007D670F">
              <w:rPr>
                <w:rFonts w:eastAsia="Arial" w:cstheme="minorHAnsi"/>
                <w:sz w:val="18"/>
                <w:szCs w:val="18"/>
              </w:rPr>
              <w:t>.</w:t>
            </w:r>
            <w:r w:rsidR="0007456C" w:rsidRPr="007D670F">
              <w:rPr>
                <w:rFonts w:cstheme="minorHAnsi"/>
                <w:sz w:val="18"/>
                <w:szCs w:val="18"/>
              </w:rPr>
              <w:t xml:space="preserve"> </w:t>
            </w:r>
          </w:p>
        </w:tc>
      </w:tr>
    </w:tbl>
    <w:p w14:paraId="75FA8277" w14:textId="77777777" w:rsidR="009E4A40" w:rsidRDefault="009E4A40" w:rsidP="008B55A7">
      <w:pPr>
        <w:jc w:val="both"/>
        <w:rPr>
          <w:lang w:val="es-CR"/>
        </w:rPr>
      </w:pPr>
    </w:p>
    <w:tbl>
      <w:tblPr>
        <w:tblStyle w:val="Tablaconcuadrcula"/>
        <w:tblW w:w="9134" w:type="dxa"/>
        <w:tblCellMar>
          <w:top w:w="28" w:type="dxa"/>
          <w:bottom w:w="28" w:type="dxa"/>
        </w:tblCellMar>
        <w:tblLook w:val="04A0" w:firstRow="1" w:lastRow="0" w:firstColumn="1" w:lastColumn="0" w:noHBand="0" w:noVBand="1"/>
      </w:tblPr>
      <w:tblGrid>
        <w:gridCol w:w="3117"/>
        <w:gridCol w:w="2832"/>
        <w:gridCol w:w="3185"/>
      </w:tblGrid>
      <w:tr w:rsidR="00CA2EEB" w:rsidRPr="005C4E32" w14:paraId="2B5F8555" w14:textId="77777777" w:rsidTr="00127BFA">
        <w:trPr>
          <w:trHeight w:val="100"/>
        </w:trPr>
        <w:tc>
          <w:tcPr>
            <w:tcW w:w="9134" w:type="dxa"/>
            <w:gridSpan w:val="3"/>
            <w:noWrap/>
          </w:tcPr>
          <w:p w14:paraId="3DD4E4EF" w14:textId="1A837C57" w:rsidR="00CA2EEB" w:rsidRPr="0007456C" w:rsidRDefault="00CA2EEB" w:rsidP="00FF44A3">
            <w:pPr>
              <w:pStyle w:val="Sinespaciado"/>
              <w:rPr>
                <w:rFonts w:cstheme="minorHAnsi"/>
                <w:sz w:val="20"/>
                <w:szCs w:val="20"/>
                <w:lang w:val="es-MX"/>
              </w:rPr>
            </w:pPr>
            <w:r w:rsidRPr="007D670F">
              <w:rPr>
                <w:rFonts w:cstheme="minorHAnsi"/>
                <w:b/>
                <w:bCs/>
                <w:lang w:val="es-MX"/>
              </w:rPr>
              <w:t xml:space="preserve">Tabla </w:t>
            </w:r>
            <w:r w:rsidR="00CB727A" w:rsidRPr="007D670F">
              <w:rPr>
                <w:rFonts w:cstheme="minorHAnsi"/>
                <w:b/>
                <w:bCs/>
                <w:lang w:val="es-MX"/>
              </w:rPr>
              <w:t>4</w:t>
            </w:r>
            <w:r w:rsidRPr="007D670F">
              <w:rPr>
                <w:rFonts w:cstheme="minorHAnsi"/>
                <w:lang w:val="es-MX"/>
              </w:rPr>
              <w:t xml:space="preserve">. </w:t>
            </w:r>
            <w:r w:rsidR="00E72BAB" w:rsidRPr="007D670F">
              <w:rPr>
                <w:rFonts w:cstheme="minorHAnsi"/>
                <w:lang w:val="es-MX"/>
              </w:rPr>
              <w:t>Distribución de los pacientes en función del sexo</w:t>
            </w:r>
            <w:r w:rsidR="00D562AB">
              <w:rPr>
                <w:rFonts w:cstheme="minorHAnsi"/>
                <w:lang w:val="es-MX"/>
              </w:rPr>
              <w:t xml:space="preserve"> respecto al </w:t>
            </w:r>
            <w:r w:rsidR="00D562AB" w:rsidRPr="007D670F">
              <w:rPr>
                <w:rFonts w:cstheme="minorHAnsi"/>
                <w:lang w:val="es-MX"/>
              </w:rPr>
              <w:t>antecedente de evento vascular cerebral, en la UMF 62, 2023</w:t>
            </w:r>
            <w:r w:rsidRPr="007D670F">
              <w:rPr>
                <w:rFonts w:cstheme="minorHAnsi"/>
                <w:lang w:val="es-MX"/>
              </w:rPr>
              <w:t>, en la UMF 62, 2023</w:t>
            </w:r>
          </w:p>
        </w:tc>
      </w:tr>
      <w:tr w:rsidR="00CA2EEB" w:rsidRPr="0007456C" w14:paraId="5D6BFD53" w14:textId="77777777" w:rsidTr="00127BFA">
        <w:trPr>
          <w:trHeight w:val="173"/>
        </w:trPr>
        <w:tc>
          <w:tcPr>
            <w:tcW w:w="3117" w:type="dxa"/>
            <w:noWrap/>
            <w:hideMark/>
          </w:tcPr>
          <w:p w14:paraId="0A8AE5EC" w14:textId="2BD0C6E9" w:rsidR="00CA2EEB" w:rsidRPr="00E72BAB" w:rsidRDefault="00E72BAB" w:rsidP="00FF44A3">
            <w:pPr>
              <w:jc w:val="center"/>
              <w:rPr>
                <w:rFonts w:eastAsia="Times New Roman" w:cstheme="minorHAnsi"/>
                <w:b/>
                <w:bCs/>
                <w:sz w:val="20"/>
                <w:szCs w:val="20"/>
                <w:lang w:eastAsia="es-MX"/>
              </w:rPr>
            </w:pPr>
            <w:r w:rsidRPr="00E72BAB">
              <w:rPr>
                <w:rFonts w:eastAsia="Times New Roman" w:cstheme="minorHAnsi"/>
                <w:b/>
                <w:bCs/>
                <w:sz w:val="20"/>
                <w:szCs w:val="20"/>
                <w:lang w:eastAsia="es-MX"/>
              </w:rPr>
              <w:t>Sexo</w:t>
            </w:r>
          </w:p>
        </w:tc>
        <w:tc>
          <w:tcPr>
            <w:tcW w:w="2832" w:type="dxa"/>
            <w:noWrap/>
            <w:hideMark/>
          </w:tcPr>
          <w:p w14:paraId="0DA3529F" w14:textId="77777777" w:rsidR="00CA2EEB" w:rsidRPr="0007456C" w:rsidRDefault="00CA2EEB"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 xml:space="preserve"> FC</w:t>
            </w:r>
          </w:p>
        </w:tc>
        <w:tc>
          <w:tcPr>
            <w:tcW w:w="3185" w:type="dxa"/>
            <w:noWrap/>
            <w:hideMark/>
          </w:tcPr>
          <w:p w14:paraId="4DA566F7" w14:textId="77777777" w:rsidR="00CA2EEB" w:rsidRPr="0007456C" w:rsidRDefault="00CA2EEB" w:rsidP="00FF44A3">
            <w:pPr>
              <w:jc w:val="center"/>
              <w:rPr>
                <w:rFonts w:eastAsia="Times New Roman" w:cstheme="minorHAnsi"/>
                <w:b/>
                <w:bCs/>
                <w:sz w:val="20"/>
                <w:szCs w:val="20"/>
                <w:lang w:eastAsia="es-MX"/>
              </w:rPr>
            </w:pPr>
            <w:r w:rsidRPr="0007456C">
              <w:rPr>
                <w:rFonts w:eastAsia="Times New Roman" w:cstheme="minorHAnsi"/>
                <w:b/>
                <w:bCs/>
                <w:sz w:val="20"/>
                <w:szCs w:val="20"/>
                <w:lang w:eastAsia="es-MX"/>
              </w:rPr>
              <w:t>%</w:t>
            </w:r>
          </w:p>
        </w:tc>
      </w:tr>
      <w:tr w:rsidR="00CA2EEB" w:rsidRPr="0007456C" w14:paraId="02E9D0F7" w14:textId="77777777" w:rsidTr="00127BFA">
        <w:trPr>
          <w:trHeight w:val="203"/>
        </w:trPr>
        <w:tc>
          <w:tcPr>
            <w:tcW w:w="3117" w:type="dxa"/>
            <w:noWrap/>
          </w:tcPr>
          <w:p w14:paraId="77719A43" w14:textId="77777777" w:rsidR="00CA2EEB" w:rsidRPr="0007456C" w:rsidRDefault="00CA2EEB" w:rsidP="00E72BAB">
            <w:pPr>
              <w:rPr>
                <w:rFonts w:eastAsia="Times New Roman" w:cstheme="minorHAnsi"/>
                <w:sz w:val="20"/>
                <w:szCs w:val="20"/>
                <w:lang w:eastAsia="es-MX"/>
              </w:rPr>
            </w:pPr>
            <w:r>
              <w:rPr>
                <w:rFonts w:eastAsia="Times New Roman" w:cstheme="minorHAnsi"/>
                <w:sz w:val="20"/>
                <w:szCs w:val="20"/>
                <w:lang w:eastAsia="es-MX"/>
              </w:rPr>
              <w:t>H</w:t>
            </w:r>
            <w:r w:rsidRPr="0007456C">
              <w:rPr>
                <w:rFonts w:eastAsia="Times New Roman" w:cstheme="minorHAnsi"/>
                <w:sz w:val="20"/>
                <w:szCs w:val="20"/>
                <w:lang w:eastAsia="es-MX"/>
              </w:rPr>
              <w:t>ombre</w:t>
            </w:r>
          </w:p>
        </w:tc>
        <w:tc>
          <w:tcPr>
            <w:tcW w:w="2832" w:type="dxa"/>
          </w:tcPr>
          <w:p w14:paraId="5C37F5B9" w14:textId="77777777" w:rsidR="00CA2EEB" w:rsidRPr="0007456C" w:rsidRDefault="00CA2EEB" w:rsidP="00FF44A3">
            <w:pPr>
              <w:jc w:val="center"/>
              <w:rPr>
                <w:rFonts w:eastAsia="Times New Roman" w:cstheme="minorHAnsi"/>
                <w:sz w:val="20"/>
                <w:szCs w:val="20"/>
                <w:lang w:eastAsia="es-MX"/>
              </w:rPr>
            </w:pPr>
            <w:r w:rsidRPr="0007456C">
              <w:rPr>
                <w:rFonts w:eastAsia="Times New Roman" w:cstheme="minorHAnsi"/>
                <w:sz w:val="20"/>
                <w:szCs w:val="20"/>
                <w:lang w:eastAsia="es-MX"/>
              </w:rPr>
              <w:t>66</w:t>
            </w:r>
          </w:p>
        </w:tc>
        <w:tc>
          <w:tcPr>
            <w:tcW w:w="3185" w:type="dxa"/>
          </w:tcPr>
          <w:p w14:paraId="69DA9DEF" w14:textId="77777777" w:rsidR="00CA2EEB" w:rsidRPr="0007456C" w:rsidRDefault="00CA2EEB" w:rsidP="00FF44A3">
            <w:pPr>
              <w:jc w:val="center"/>
              <w:rPr>
                <w:rFonts w:eastAsia="Times New Roman" w:cstheme="minorHAnsi"/>
                <w:sz w:val="20"/>
                <w:szCs w:val="20"/>
                <w:lang w:eastAsia="es-MX"/>
              </w:rPr>
            </w:pPr>
            <w:r w:rsidRPr="0007456C">
              <w:rPr>
                <w:rFonts w:eastAsia="Times New Roman" w:cstheme="minorHAnsi"/>
                <w:sz w:val="20"/>
                <w:szCs w:val="20"/>
                <w:lang w:eastAsia="es-MX"/>
              </w:rPr>
              <w:t>57</w:t>
            </w:r>
          </w:p>
        </w:tc>
      </w:tr>
      <w:tr w:rsidR="00CA2EEB" w:rsidRPr="0007456C" w14:paraId="65C4CC36" w14:textId="77777777" w:rsidTr="00127BFA">
        <w:trPr>
          <w:trHeight w:val="94"/>
        </w:trPr>
        <w:tc>
          <w:tcPr>
            <w:tcW w:w="3117" w:type="dxa"/>
            <w:noWrap/>
          </w:tcPr>
          <w:p w14:paraId="5F023FDD" w14:textId="77777777" w:rsidR="00CA2EEB" w:rsidRPr="0007456C" w:rsidRDefault="00CA2EEB" w:rsidP="00E72BAB">
            <w:pPr>
              <w:rPr>
                <w:rFonts w:eastAsia="Times New Roman" w:cstheme="minorHAnsi"/>
                <w:sz w:val="20"/>
                <w:szCs w:val="20"/>
                <w:lang w:eastAsia="es-MX"/>
              </w:rPr>
            </w:pPr>
            <w:r>
              <w:rPr>
                <w:rFonts w:eastAsia="Times New Roman" w:cstheme="minorHAnsi"/>
                <w:sz w:val="20"/>
                <w:szCs w:val="20"/>
                <w:lang w:eastAsia="es-MX"/>
              </w:rPr>
              <w:t>M</w:t>
            </w:r>
            <w:r w:rsidRPr="0007456C">
              <w:rPr>
                <w:rFonts w:eastAsia="Times New Roman" w:cstheme="minorHAnsi"/>
                <w:sz w:val="20"/>
                <w:szCs w:val="20"/>
                <w:lang w:eastAsia="es-MX"/>
              </w:rPr>
              <w:t>ujer</w:t>
            </w:r>
          </w:p>
        </w:tc>
        <w:tc>
          <w:tcPr>
            <w:tcW w:w="2832" w:type="dxa"/>
          </w:tcPr>
          <w:p w14:paraId="7458DA99" w14:textId="77777777" w:rsidR="00CA2EEB" w:rsidRPr="0007456C" w:rsidRDefault="00CA2EEB" w:rsidP="00FF44A3">
            <w:pPr>
              <w:jc w:val="center"/>
              <w:rPr>
                <w:rFonts w:eastAsia="Times New Roman" w:cstheme="minorHAnsi"/>
                <w:sz w:val="20"/>
                <w:szCs w:val="20"/>
                <w:lang w:eastAsia="es-MX"/>
              </w:rPr>
            </w:pPr>
            <w:r w:rsidRPr="0007456C">
              <w:rPr>
                <w:rFonts w:eastAsia="Times New Roman" w:cstheme="minorHAnsi"/>
                <w:sz w:val="20"/>
                <w:szCs w:val="20"/>
                <w:lang w:eastAsia="es-MX"/>
              </w:rPr>
              <w:t>49</w:t>
            </w:r>
          </w:p>
        </w:tc>
        <w:tc>
          <w:tcPr>
            <w:tcW w:w="3185" w:type="dxa"/>
          </w:tcPr>
          <w:p w14:paraId="0FC72435" w14:textId="77777777" w:rsidR="00CA2EEB" w:rsidRPr="0007456C" w:rsidRDefault="00CA2EEB" w:rsidP="00FF44A3">
            <w:pPr>
              <w:jc w:val="center"/>
              <w:rPr>
                <w:rFonts w:eastAsia="Times New Roman" w:cstheme="minorHAnsi"/>
                <w:sz w:val="20"/>
                <w:szCs w:val="20"/>
                <w:lang w:eastAsia="es-MX"/>
              </w:rPr>
            </w:pPr>
            <w:r w:rsidRPr="0007456C">
              <w:rPr>
                <w:rFonts w:eastAsia="Times New Roman" w:cstheme="minorHAnsi"/>
                <w:sz w:val="20"/>
                <w:szCs w:val="20"/>
                <w:lang w:eastAsia="es-MX"/>
              </w:rPr>
              <w:t>43</w:t>
            </w:r>
          </w:p>
        </w:tc>
      </w:tr>
      <w:tr w:rsidR="00CA2EEB" w:rsidRPr="005C4E32" w14:paraId="5185BE84" w14:textId="77777777" w:rsidTr="00127BFA">
        <w:trPr>
          <w:trHeight w:val="114"/>
        </w:trPr>
        <w:tc>
          <w:tcPr>
            <w:tcW w:w="9134" w:type="dxa"/>
            <w:gridSpan w:val="3"/>
            <w:noWrap/>
          </w:tcPr>
          <w:p w14:paraId="29295F2C" w14:textId="20536E7F" w:rsidR="00B36BC2" w:rsidRPr="00D07E2E" w:rsidRDefault="00B36BC2" w:rsidP="00B36BC2">
            <w:pPr>
              <w:jc w:val="both"/>
              <w:rPr>
                <w:rFonts w:eastAsia="Arial" w:cstheme="minorHAnsi"/>
                <w:sz w:val="18"/>
                <w:szCs w:val="18"/>
              </w:rPr>
            </w:pPr>
            <w:r w:rsidRPr="00D07E2E">
              <w:rPr>
                <w:rFonts w:cstheme="minorHAnsi"/>
                <w:b/>
                <w:bCs/>
                <w:sz w:val="18"/>
                <w:szCs w:val="18"/>
                <w:lang w:val="es-MX"/>
              </w:rPr>
              <w:t>Abreviaturas</w:t>
            </w:r>
            <w:r w:rsidRPr="00D07E2E">
              <w:rPr>
                <w:rFonts w:cstheme="minorHAnsi"/>
                <w:sz w:val="18"/>
                <w:szCs w:val="18"/>
                <w:lang w:val="es-MX"/>
              </w:rPr>
              <w:t xml:space="preserve">. </w:t>
            </w:r>
            <w:r w:rsidR="00F160F9" w:rsidRPr="00F160F9">
              <w:rPr>
                <w:rFonts w:cstheme="minorHAnsi"/>
                <w:b/>
                <w:bCs/>
                <w:sz w:val="18"/>
                <w:szCs w:val="18"/>
                <w:lang w:val="es-MX"/>
              </w:rPr>
              <w:t>UMF 62</w:t>
            </w:r>
            <w:r w:rsidR="00F160F9">
              <w:rPr>
                <w:rFonts w:cstheme="minorHAnsi"/>
                <w:sz w:val="18"/>
                <w:szCs w:val="18"/>
                <w:lang w:val="es-MX"/>
              </w:rPr>
              <w:t xml:space="preserve">, </w:t>
            </w:r>
            <w:r w:rsidR="00F160F9" w:rsidRPr="00DF1B6A">
              <w:rPr>
                <w:rFonts w:cstheme="minorHAnsi"/>
                <w:sz w:val="18"/>
                <w:szCs w:val="18"/>
                <w:lang w:val="es-MX"/>
              </w:rPr>
              <w:t>Unidad de Medicina Familiar número 62</w:t>
            </w:r>
            <w:r w:rsidR="00F160F9">
              <w:rPr>
                <w:rFonts w:cstheme="minorHAnsi"/>
                <w:sz w:val="18"/>
                <w:szCs w:val="18"/>
                <w:lang w:val="es-MX"/>
              </w:rPr>
              <w:t xml:space="preserve">; </w:t>
            </w:r>
            <w:r w:rsidRPr="00D07E2E">
              <w:rPr>
                <w:rFonts w:cstheme="minorHAnsi"/>
                <w:b/>
                <w:bCs/>
                <w:sz w:val="18"/>
                <w:szCs w:val="18"/>
                <w:lang w:val="es-MX"/>
              </w:rPr>
              <w:t>FC</w:t>
            </w:r>
            <w:r w:rsidRPr="00D07E2E">
              <w:rPr>
                <w:rFonts w:cstheme="minorHAnsi"/>
                <w:sz w:val="18"/>
                <w:szCs w:val="18"/>
                <w:lang w:val="es-MX"/>
              </w:rPr>
              <w:t xml:space="preserve">, frecuencia; </w:t>
            </w:r>
            <w:r w:rsidRPr="00D07E2E">
              <w:rPr>
                <w:rFonts w:cstheme="minorHAnsi"/>
                <w:b/>
                <w:bCs/>
                <w:sz w:val="18"/>
                <w:szCs w:val="18"/>
                <w:lang w:val="es-MX"/>
              </w:rPr>
              <w:t>%</w:t>
            </w:r>
            <w:r w:rsidRPr="00D07E2E">
              <w:rPr>
                <w:rFonts w:cstheme="minorHAnsi"/>
                <w:sz w:val="18"/>
                <w:szCs w:val="18"/>
                <w:lang w:val="es-MX"/>
              </w:rPr>
              <w:t>, porcentaje.</w:t>
            </w:r>
          </w:p>
          <w:p w14:paraId="72E18A5B" w14:textId="3334E936" w:rsidR="00CA2EEB" w:rsidRPr="0007456C" w:rsidRDefault="00B36BC2" w:rsidP="00B36BC2">
            <w:pPr>
              <w:rPr>
                <w:rFonts w:eastAsia="Times New Roman" w:cstheme="minorHAnsi"/>
                <w:sz w:val="20"/>
                <w:szCs w:val="20"/>
                <w:lang w:eastAsia="es-MX"/>
              </w:rPr>
            </w:pPr>
            <w:r w:rsidRPr="00D07E2E">
              <w:rPr>
                <w:rFonts w:eastAsia="Arial" w:cstheme="minorHAnsi"/>
                <w:b/>
                <w:bCs/>
                <w:sz w:val="18"/>
                <w:szCs w:val="18"/>
              </w:rPr>
              <w:t>Fuente</w:t>
            </w:r>
            <w:r w:rsidRPr="00D07E2E">
              <w:rPr>
                <w:rFonts w:eastAsia="Arial" w:cstheme="minorHAnsi"/>
                <w:sz w:val="18"/>
                <w:szCs w:val="18"/>
              </w:rPr>
              <w:t>. Instrumento de recolección de datos.</w:t>
            </w:r>
          </w:p>
        </w:tc>
      </w:tr>
    </w:tbl>
    <w:p w14:paraId="18C73C06" w14:textId="77777777" w:rsidR="009E4A40" w:rsidRDefault="009E4A40" w:rsidP="008B55A7">
      <w:pPr>
        <w:jc w:val="both"/>
        <w:rPr>
          <w:lang w:val="es-CR"/>
        </w:rPr>
      </w:pPr>
    </w:p>
    <w:tbl>
      <w:tblPr>
        <w:tblStyle w:val="Tablaconcuadrcula"/>
        <w:tblW w:w="9323" w:type="dxa"/>
        <w:tblCellMar>
          <w:top w:w="28" w:type="dxa"/>
          <w:bottom w:w="28" w:type="dxa"/>
        </w:tblCellMar>
        <w:tblLook w:val="04A0" w:firstRow="1" w:lastRow="0" w:firstColumn="1" w:lastColumn="0" w:noHBand="0" w:noVBand="1"/>
      </w:tblPr>
      <w:tblGrid>
        <w:gridCol w:w="846"/>
        <w:gridCol w:w="2783"/>
        <w:gridCol w:w="2681"/>
        <w:gridCol w:w="3013"/>
      </w:tblGrid>
      <w:tr w:rsidR="00543E9B" w:rsidRPr="005C4E32" w14:paraId="18F7A083" w14:textId="77777777" w:rsidTr="00C048DB">
        <w:trPr>
          <w:trHeight w:val="100"/>
        </w:trPr>
        <w:tc>
          <w:tcPr>
            <w:tcW w:w="9323" w:type="dxa"/>
            <w:gridSpan w:val="4"/>
          </w:tcPr>
          <w:p w14:paraId="5B38468E" w14:textId="3FBF2CAC" w:rsidR="00543E9B" w:rsidRPr="0007456C" w:rsidRDefault="00543E9B" w:rsidP="00FF44A3">
            <w:pPr>
              <w:pStyle w:val="Sinespaciado"/>
              <w:rPr>
                <w:rFonts w:cstheme="minorHAnsi"/>
                <w:sz w:val="20"/>
                <w:szCs w:val="20"/>
                <w:lang w:val="es-MX"/>
              </w:rPr>
            </w:pPr>
            <w:r w:rsidRPr="00BE1149">
              <w:rPr>
                <w:rFonts w:cstheme="minorHAnsi"/>
                <w:b/>
                <w:bCs/>
                <w:sz w:val="20"/>
                <w:szCs w:val="20"/>
                <w:lang w:val="es-MX"/>
              </w:rPr>
              <w:t xml:space="preserve">Tabla </w:t>
            </w:r>
            <w:r>
              <w:rPr>
                <w:rFonts w:cstheme="minorHAnsi"/>
                <w:b/>
                <w:bCs/>
                <w:sz w:val="20"/>
                <w:szCs w:val="20"/>
                <w:lang w:val="es-MX"/>
              </w:rPr>
              <w:t>5</w:t>
            </w:r>
            <w:r>
              <w:rPr>
                <w:rFonts w:cstheme="minorHAnsi"/>
                <w:sz w:val="20"/>
                <w:szCs w:val="20"/>
                <w:lang w:val="es-MX"/>
              </w:rPr>
              <w:t>.</w:t>
            </w:r>
            <w:r w:rsidRPr="0007456C">
              <w:rPr>
                <w:rFonts w:cstheme="minorHAnsi"/>
                <w:sz w:val="20"/>
                <w:szCs w:val="20"/>
                <w:lang w:val="es-MX"/>
              </w:rPr>
              <w:t xml:space="preserve"> </w:t>
            </w:r>
            <w:r>
              <w:rPr>
                <w:rFonts w:cstheme="minorHAnsi"/>
                <w:sz w:val="20"/>
                <w:szCs w:val="20"/>
                <w:lang w:val="es-MX"/>
              </w:rPr>
              <w:t>Estadística descriptiva de la mediana ajustado a la edad, peso y talla</w:t>
            </w:r>
            <w:r w:rsidR="00084354">
              <w:rPr>
                <w:rFonts w:cstheme="minorHAnsi"/>
                <w:sz w:val="20"/>
                <w:szCs w:val="20"/>
                <w:lang w:val="es-MX"/>
              </w:rPr>
              <w:t>,</w:t>
            </w:r>
            <w:r>
              <w:rPr>
                <w:rFonts w:cstheme="minorHAnsi"/>
                <w:sz w:val="20"/>
                <w:szCs w:val="20"/>
                <w:lang w:val="es-MX"/>
              </w:rPr>
              <w:t xml:space="preserve"> </w:t>
            </w:r>
            <w:r w:rsidRPr="007D670F">
              <w:rPr>
                <w:rFonts w:cstheme="minorHAnsi"/>
                <w:lang w:val="es-MX"/>
              </w:rPr>
              <w:t>en la UMF 62, 2023</w:t>
            </w:r>
          </w:p>
        </w:tc>
      </w:tr>
      <w:tr w:rsidR="00543E9B" w:rsidRPr="0007456C" w14:paraId="628DCC03" w14:textId="77777777" w:rsidTr="00543E9B">
        <w:trPr>
          <w:trHeight w:val="114"/>
        </w:trPr>
        <w:tc>
          <w:tcPr>
            <w:tcW w:w="846" w:type="dxa"/>
          </w:tcPr>
          <w:p w14:paraId="53741E15" w14:textId="77777777" w:rsidR="00543E9B" w:rsidRPr="00125954" w:rsidRDefault="00543E9B" w:rsidP="00FF44A3">
            <w:pPr>
              <w:jc w:val="center"/>
              <w:rPr>
                <w:rFonts w:eastAsia="Times New Roman" w:cstheme="minorHAnsi"/>
                <w:b/>
                <w:bCs/>
                <w:sz w:val="20"/>
                <w:szCs w:val="20"/>
                <w:lang w:eastAsia="es-MX"/>
              </w:rPr>
            </w:pPr>
          </w:p>
        </w:tc>
        <w:tc>
          <w:tcPr>
            <w:tcW w:w="2783" w:type="dxa"/>
            <w:noWrap/>
          </w:tcPr>
          <w:p w14:paraId="7865ED02" w14:textId="32869962" w:rsidR="00543E9B" w:rsidRPr="00125954" w:rsidRDefault="00543E9B" w:rsidP="00FF44A3">
            <w:pPr>
              <w:jc w:val="center"/>
              <w:rPr>
                <w:rFonts w:eastAsia="Times New Roman" w:cstheme="minorHAnsi"/>
                <w:b/>
                <w:bCs/>
                <w:sz w:val="20"/>
                <w:szCs w:val="20"/>
                <w:lang w:eastAsia="es-MX"/>
              </w:rPr>
            </w:pPr>
            <w:r w:rsidRPr="00125954">
              <w:rPr>
                <w:rFonts w:eastAsia="Times New Roman" w:cstheme="minorHAnsi"/>
                <w:b/>
                <w:bCs/>
                <w:sz w:val="20"/>
                <w:szCs w:val="20"/>
                <w:lang w:eastAsia="es-MX"/>
              </w:rPr>
              <w:t>Mediana</w:t>
            </w:r>
          </w:p>
        </w:tc>
        <w:tc>
          <w:tcPr>
            <w:tcW w:w="2681" w:type="dxa"/>
          </w:tcPr>
          <w:p w14:paraId="79425B83" w14:textId="34372127" w:rsidR="00543E9B" w:rsidRPr="00125954" w:rsidRDefault="00543E9B" w:rsidP="00FF44A3">
            <w:pPr>
              <w:jc w:val="center"/>
              <w:rPr>
                <w:rFonts w:eastAsia="Times New Roman" w:cstheme="minorHAnsi"/>
                <w:b/>
                <w:bCs/>
                <w:sz w:val="20"/>
                <w:szCs w:val="20"/>
                <w:lang w:eastAsia="es-MX"/>
              </w:rPr>
            </w:pPr>
            <w:r w:rsidRPr="00125954">
              <w:rPr>
                <w:rFonts w:eastAsia="Times New Roman" w:cstheme="minorHAnsi"/>
                <w:b/>
                <w:bCs/>
                <w:sz w:val="20"/>
                <w:szCs w:val="20"/>
                <w:lang w:eastAsia="es-MX"/>
              </w:rPr>
              <w:t>Valor mínimo</w:t>
            </w:r>
          </w:p>
        </w:tc>
        <w:tc>
          <w:tcPr>
            <w:tcW w:w="3013" w:type="dxa"/>
          </w:tcPr>
          <w:p w14:paraId="01BD9F1D" w14:textId="603C1B03" w:rsidR="00543E9B" w:rsidRPr="00125954" w:rsidRDefault="00543E9B" w:rsidP="00FF44A3">
            <w:pPr>
              <w:jc w:val="center"/>
              <w:rPr>
                <w:rFonts w:eastAsia="Times New Roman" w:cstheme="minorHAnsi"/>
                <w:b/>
                <w:bCs/>
                <w:sz w:val="20"/>
                <w:szCs w:val="20"/>
                <w:lang w:eastAsia="es-MX"/>
              </w:rPr>
            </w:pPr>
            <w:r w:rsidRPr="00125954">
              <w:rPr>
                <w:rFonts w:eastAsia="Times New Roman" w:cstheme="minorHAnsi"/>
                <w:b/>
                <w:bCs/>
                <w:sz w:val="20"/>
                <w:szCs w:val="20"/>
                <w:lang w:eastAsia="es-MX"/>
              </w:rPr>
              <w:t>Valor máximo</w:t>
            </w:r>
          </w:p>
        </w:tc>
      </w:tr>
      <w:tr w:rsidR="00543E9B" w:rsidRPr="0007456C" w14:paraId="0393DAD3" w14:textId="77777777" w:rsidTr="00543E9B">
        <w:trPr>
          <w:trHeight w:val="114"/>
        </w:trPr>
        <w:tc>
          <w:tcPr>
            <w:tcW w:w="846" w:type="dxa"/>
          </w:tcPr>
          <w:p w14:paraId="6EC8237F" w14:textId="5847EAF7" w:rsidR="00543E9B" w:rsidRPr="0007456C" w:rsidRDefault="00543E9B" w:rsidP="00FF44A3">
            <w:pPr>
              <w:jc w:val="center"/>
              <w:rPr>
                <w:rFonts w:eastAsia="Times New Roman" w:cstheme="minorHAnsi"/>
                <w:sz w:val="20"/>
                <w:szCs w:val="20"/>
                <w:lang w:eastAsia="es-MX"/>
              </w:rPr>
            </w:pPr>
            <w:r w:rsidRPr="00125954">
              <w:rPr>
                <w:rFonts w:eastAsia="Times New Roman" w:cstheme="minorHAnsi"/>
                <w:b/>
                <w:bCs/>
                <w:sz w:val="20"/>
                <w:szCs w:val="20"/>
                <w:lang w:eastAsia="es-MX"/>
              </w:rPr>
              <w:t>Edad</w:t>
            </w:r>
          </w:p>
        </w:tc>
        <w:tc>
          <w:tcPr>
            <w:tcW w:w="2783" w:type="dxa"/>
            <w:noWrap/>
          </w:tcPr>
          <w:p w14:paraId="74D87CEF" w14:textId="178F47F4" w:rsidR="00543E9B" w:rsidRPr="0007456C" w:rsidRDefault="00543E9B"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67</w:t>
            </w:r>
          </w:p>
        </w:tc>
        <w:tc>
          <w:tcPr>
            <w:tcW w:w="2681" w:type="dxa"/>
          </w:tcPr>
          <w:p w14:paraId="303DD89B"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49</w:t>
            </w:r>
          </w:p>
        </w:tc>
        <w:tc>
          <w:tcPr>
            <w:tcW w:w="3013" w:type="dxa"/>
          </w:tcPr>
          <w:p w14:paraId="4FAB8ED8"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91</w:t>
            </w:r>
          </w:p>
        </w:tc>
      </w:tr>
      <w:tr w:rsidR="00543E9B" w:rsidRPr="0007456C" w14:paraId="2B7EF644" w14:textId="77777777" w:rsidTr="00543E9B">
        <w:trPr>
          <w:trHeight w:val="114"/>
        </w:trPr>
        <w:tc>
          <w:tcPr>
            <w:tcW w:w="846" w:type="dxa"/>
          </w:tcPr>
          <w:p w14:paraId="7123C20D" w14:textId="50C13117" w:rsidR="00543E9B" w:rsidRPr="0007456C" w:rsidRDefault="00543E9B" w:rsidP="00FF44A3">
            <w:pPr>
              <w:jc w:val="center"/>
              <w:rPr>
                <w:rFonts w:eastAsia="Times New Roman" w:cstheme="minorHAnsi"/>
                <w:sz w:val="20"/>
                <w:szCs w:val="20"/>
                <w:lang w:eastAsia="es-MX"/>
              </w:rPr>
            </w:pPr>
            <w:r w:rsidRPr="00125954">
              <w:rPr>
                <w:rFonts w:eastAsia="Times New Roman" w:cstheme="minorHAnsi"/>
                <w:b/>
                <w:bCs/>
                <w:sz w:val="20"/>
                <w:szCs w:val="20"/>
                <w:lang w:eastAsia="es-MX"/>
              </w:rPr>
              <w:t>Peso</w:t>
            </w:r>
          </w:p>
        </w:tc>
        <w:tc>
          <w:tcPr>
            <w:tcW w:w="2783" w:type="dxa"/>
            <w:noWrap/>
          </w:tcPr>
          <w:p w14:paraId="0774490C" w14:textId="44905BEF" w:rsidR="00543E9B" w:rsidRPr="0007456C" w:rsidRDefault="00543E9B"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76</w:t>
            </w:r>
          </w:p>
        </w:tc>
        <w:tc>
          <w:tcPr>
            <w:tcW w:w="2681" w:type="dxa"/>
          </w:tcPr>
          <w:p w14:paraId="13231459"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40</w:t>
            </w:r>
          </w:p>
        </w:tc>
        <w:tc>
          <w:tcPr>
            <w:tcW w:w="3013" w:type="dxa"/>
          </w:tcPr>
          <w:p w14:paraId="43D05CA5"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120</w:t>
            </w:r>
          </w:p>
        </w:tc>
      </w:tr>
      <w:tr w:rsidR="00543E9B" w:rsidRPr="0007456C" w14:paraId="24CBE42A" w14:textId="77777777" w:rsidTr="00543E9B">
        <w:trPr>
          <w:trHeight w:val="114"/>
        </w:trPr>
        <w:tc>
          <w:tcPr>
            <w:tcW w:w="846" w:type="dxa"/>
          </w:tcPr>
          <w:p w14:paraId="5E39F2BE" w14:textId="3939B3C5" w:rsidR="00543E9B" w:rsidRPr="0007456C" w:rsidRDefault="00543E9B" w:rsidP="00FF44A3">
            <w:pPr>
              <w:jc w:val="center"/>
              <w:rPr>
                <w:rFonts w:eastAsia="Times New Roman" w:cstheme="minorHAnsi"/>
                <w:sz w:val="20"/>
                <w:szCs w:val="20"/>
                <w:lang w:eastAsia="es-MX"/>
              </w:rPr>
            </w:pPr>
            <w:r w:rsidRPr="00125954">
              <w:rPr>
                <w:rFonts w:eastAsia="Times New Roman" w:cstheme="minorHAnsi"/>
                <w:b/>
                <w:bCs/>
                <w:sz w:val="20"/>
                <w:szCs w:val="20"/>
                <w:lang w:eastAsia="es-MX"/>
              </w:rPr>
              <w:t>Talla</w:t>
            </w:r>
          </w:p>
        </w:tc>
        <w:tc>
          <w:tcPr>
            <w:tcW w:w="2783" w:type="dxa"/>
            <w:noWrap/>
          </w:tcPr>
          <w:p w14:paraId="4B831794" w14:textId="01ACD37C" w:rsidR="00543E9B" w:rsidRPr="0007456C" w:rsidRDefault="00543E9B" w:rsidP="00FF44A3">
            <w:pPr>
              <w:jc w:val="center"/>
              <w:rPr>
                <w:rFonts w:eastAsia="Times New Roman" w:cstheme="minorHAnsi"/>
                <w:b/>
                <w:bCs/>
                <w:sz w:val="20"/>
                <w:szCs w:val="20"/>
                <w:lang w:eastAsia="es-MX"/>
              </w:rPr>
            </w:pPr>
            <w:r w:rsidRPr="0007456C">
              <w:rPr>
                <w:rFonts w:eastAsia="Times New Roman" w:cstheme="minorHAnsi"/>
                <w:sz w:val="20"/>
                <w:szCs w:val="20"/>
                <w:lang w:eastAsia="es-MX"/>
              </w:rPr>
              <w:t>1.62</w:t>
            </w:r>
          </w:p>
        </w:tc>
        <w:tc>
          <w:tcPr>
            <w:tcW w:w="2681" w:type="dxa"/>
          </w:tcPr>
          <w:p w14:paraId="7F2C60E1"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1.50</w:t>
            </w:r>
          </w:p>
        </w:tc>
        <w:tc>
          <w:tcPr>
            <w:tcW w:w="3013" w:type="dxa"/>
          </w:tcPr>
          <w:p w14:paraId="648D88F4" w14:textId="77777777" w:rsidR="00543E9B" w:rsidRPr="0007456C" w:rsidRDefault="00543E9B" w:rsidP="00FF44A3">
            <w:pPr>
              <w:jc w:val="center"/>
              <w:rPr>
                <w:rFonts w:eastAsia="Times New Roman" w:cstheme="minorHAnsi"/>
                <w:sz w:val="20"/>
                <w:szCs w:val="20"/>
                <w:lang w:eastAsia="es-MX"/>
              </w:rPr>
            </w:pPr>
            <w:r w:rsidRPr="0007456C">
              <w:rPr>
                <w:rFonts w:eastAsia="Times New Roman" w:cstheme="minorHAnsi"/>
                <w:sz w:val="20"/>
                <w:szCs w:val="20"/>
                <w:lang w:eastAsia="es-MX"/>
              </w:rPr>
              <w:t>1.71</w:t>
            </w:r>
          </w:p>
        </w:tc>
      </w:tr>
      <w:tr w:rsidR="00543E9B" w:rsidRPr="005C4E32" w14:paraId="14535FDC" w14:textId="77777777" w:rsidTr="00CD52E0">
        <w:trPr>
          <w:trHeight w:val="114"/>
        </w:trPr>
        <w:tc>
          <w:tcPr>
            <w:tcW w:w="9323" w:type="dxa"/>
            <w:gridSpan w:val="4"/>
          </w:tcPr>
          <w:p w14:paraId="25F3AFF2" w14:textId="69AD7A72" w:rsidR="00F160F9" w:rsidRPr="00F160F9" w:rsidRDefault="00F160F9" w:rsidP="00F160F9">
            <w:pPr>
              <w:jc w:val="both"/>
              <w:rPr>
                <w:rFonts w:eastAsia="Arial" w:cstheme="minorHAnsi"/>
                <w:sz w:val="18"/>
                <w:szCs w:val="18"/>
              </w:rPr>
            </w:pPr>
            <w:r w:rsidRPr="007D670F">
              <w:rPr>
                <w:rFonts w:eastAsia="Arial" w:cstheme="minorHAnsi"/>
                <w:b/>
                <w:bCs/>
                <w:sz w:val="18"/>
                <w:szCs w:val="18"/>
              </w:rPr>
              <w:t>Abreviaturas</w:t>
            </w:r>
            <w:r w:rsidRPr="007D670F">
              <w:rPr>
                <w:rFonts w:eastAsia="Arial" w:cstheme="minorHAnsi"/>
                <w:sz w:val="18"/>
                <w:szCs w:val="18"/>
              </w:rPr>
              <w:t xml:space="preserve">. </w:t>
            </w:r>
            <w:r w:rsidRPr="00F160F9">
              <w:rPr>
                <w:rFonts w:cstheme="minorHAnsi"/>
                <w:b/>
                <w:bCs/>
                <w:sz w:val="18"/>
                <w:szCs w:val="18"/>
                <w:lang w:val="es-MX"/>
              </w:rPr>
              <w:t>UMF 62</w:t>
            </w:r>
            <w:r>
              <w:rPr>
                <w:rFonts w:cstheme="minorHAnsi"/>
                <w:sz w:val="18"/>
                <w:szCs w:val="18"/>
                <w:lang w:val="es-MX"/>
              </w:rPr>
              <w:t xml:space="preserve">, </w:t>
            </w:r>
            <w:r w:rsidRPr="00DF1B6A">
              <w:rPr>
                <w:rFonts w:cstheme="minorHAnsi"/>
                <w:sz w:val="18"/>
                <w:szCs w:val="18"/>
                <w:lang w:val="es-MX"/>
              </w:rPr>
              <w:t>Unidad de Medicina Familiar número 62</w:t>
            </w:r>
            <w:r>
              <w:rPr>
                <w:rFonts w:cstheme="minorHAnsi"/>
                <w:sz w:val="18"/>
                <w:szCs w:val="18"/>
                <w:lang w:val="es-MX"/>
              </w:rPr>
              <w:t>.</w:t>
            </w:r>
          </w:p>
          <w:p w14:paraId="4DF03CA5" w14:textId="27774736" w:rsidR="00543E9B" w:rsidRPr="0007456C" w:rsidRDefault="00543E9B" w:rsidP="00FF44A3">
            <w:pPr>
              <w:rPr>
                <w:rFonts w:eastAsia="Times New Roman" w:cstheme="minorHAnsi"/>
                <w:sz w:val="20"/>
                <w:szCs w:val="20"/>
                <w:lang w:eastAsia="es-MX"/>
              </w:rPr>
            </w:pPr>
            <w:r w:rsidRPr="00B36BC2">
              <w:rPr>
                <w:rFonts w:eastAsia="Arial" w:cstheme="minorHAnsi"/>
                <w:b/>
                <w:bCs/>
                <w:sz w:val="20"/>
                <w:szCs w:val="20"/>
              </w:rPr>
              <w:t>Fuente</w:t>
            </w:r>
            <w:r w:rsidRPr="00034982">
              <w:rPr>
                <w:rFonts w:eastAsia="Arial" w:cstheme="minorHAnsi"/>
                <w:sz w:val="20"/>
                <w:szCs w:val="20"/>
              </w:rPr>
              <w:t>. Instrumento de recolección de datos</w:t>
            </w:r>
            <w:r>
              <w:rPr>
                <w:rFonts w:eastAsia="Arial" w:cstheme="minorHAnsi"/>
                <w:sz w:val="20"/>
                <w:szCs w:val="20"/>
              </w:rPr>
              <w:t>.</w:t>
            </w:r>
          </w:p>
        </w:tc>
      </w:tr>
    </w:tbl>
    <w:p w14:paraId="01BF0770" w14:textId="77777777" w:rsidR="00EB425A" w:rsidRDefault="00EB425A" w:rsidP="008B55A7">
      <w:pPr>
        <w:jc w:val="both"/>
        <w:rPr>
          <w:lang w:val="es-CR"/>
        </w:rPr>
      </w:pPr>
    </w:p>
    <w:p w14:paraId="23B694BF" w14:textId="77777777" w:rsidR="00917C3A" w:rsidRDefault="00917C3A" w:rsidP="008B55A7">
      <w:pPr>
        <w:jc w:val="both"/>
        <w:rPr>
          <w:lang w:val="es-CR"/>
        </w:rPr>
        <w:sectPr w:rsidR="00917C3A" w:rsidSect="005A405C">
          <w:type w:val="continuous"/>
          <w:pgSz w:w="12240" w:h="15840"/>
          <w:pgMar w:top="1440" w:right="1467" w:bottom="1440" w:left="1440" w:header="720" w:footer="720" w:gutter="0"/>
          <w:pgNumType w:start="1"/>
          <w:cols w:space="720"/>
        </w:sectPr>
      </w:pPr>
    </w:p>
    <w:p w14:paraId="1F67A22B" w14:textId="77777777" w:rsidR="00917C3A" w:rsidRPr="0080118F" w:rsidRDefault="00917C3A" w:rsidP="00917C3A">
      <w:pPr>
        <w:pStyle w:val="Ttulo"/>
        <w:rPr>
          <w:szCs w:val="22"/>
        </w:rPr>
      </w:pPr>
      <w:r w:rsidRPr="00E05D1F">
        <w:t>DISCUSIÓN</w:t>
      </w:r>
    </w:p>
    <w:p w14:paraId="65C506D0" w14:textId="77777777" w:rsidR="00917C3A" w:rsidRPr="000668FF" w:rsidRDefault="00917C3A" w:rsidP="00917C3A">
      <w:pPr>
        <w:jc w:val="both"/>
        <w:rPr>
          <w:lang w:val="es-CR"/>
        </w:rPr>
      </w:pPr>
      <w:r w:rsidRPr="000668FF">
        <w:rPr>
          <w:lang w:val="es-CR"/>
        </w:rPr>
        <w:t>Durante nuestra investigación, hemos identificado que el evento vascular cerebral (EVC) constituye una de las principales causas de mortalidad y la primera en provocar discapacidad, generando costos significativos para el sector salud y acarreando problemas personales, sociales y familiares. La presencia de deterioro cognitivo asociado a la discapacidad funcional como secuela de un EVC requiere una intervención oportuna que impacte en la reducción de la dependencia que conlleva (Referencia 1).</w:t>
      </w:r>
    </w:p>
    <w:p w14:paraId="52A3466F" w14:textId="77777777" w:rsidR="00917C3A" w:rsidRPr="000668FF" w:rsidRDefault="00917C3A" w:rsidP="00917C3A">
      <w:pPr>
        <w:jc w:val="both"/>
        <w:rPr>
          <w:lang w:val="es-CR"/>
        </w:rPr>
      </w:pPr>
      <w:r w:rsidRPr="000668FF">
        <w:rPr>
          <w:lang w:val="es-CR"/>
        </w:rPr>
        <w:t xml:space="preserve">Los factores de riesgo para la incidencia de EVC pueden ser modificables o no modificables. Se identifica a la hipertensión arterial como el factor asociado con mayor prevalencia, seguido de la diabetes mellitus. Otros factores de riesgo que requieren abordaje oportuno incluyen el tabaquismo, la </w:t>
      </w:r>
      <w:r w:rsidRPr="000668FF">
        <w:rPr>
          <w:lang w:val="es-CR"/>
        </w:rPr>
        <w:t>obesidad, la dislipidemia, el sedentarismo y el alcoholismo (Referencias 1, 10).</w:t>
      </w:r>
    </w:p>
    <w:p w14:paraId="5CD1E73D" w14:textId="77777777" w:rsidR="00917C3A" w:rsidRPr="000668FF" w:rsidRDefault="00917C3A" w:rsidP="00917C3A">
      <w:pPr>
        <w:jc w:val="both"/>
        <w:rPr>
          <w:lang w:val="es-CR"/>
        </w:rPr>
      </w:pPr>
      <w:r w:rsidRPr="000668FF">
        <w:rPr>
          <w:lang w:val="es-CR"/>
        </w:rPr>
        <w:t>Estudios indican que el sexo influye en la presentación de un EVC. Cañizares (2019) informa en su estudio con una población total de 152 personas que el 61.84% corresponde al sexo masculino, cifra similar a la encontrada en nuestro estudio, que fue del 57% (Referencia 5).</w:t>
      </w:r>
    </w:p>
    <w:p w14:paraId="7BA103F8" w14:textId="77777777" w:rsidR="00917C3A" w:rsidRPr="000668FF" w:rsidRDefault="00917C3A" w:rsidP="00917C3A">
      <w:pPr>
        <w:jc w:val="both"/>
        <w:rPr>
          <w:lang w:val="es-CR"/>
        </w:rPr>
      </w:pPr>
      <w:r w:rsidRPr="000668FF">
        <w:rPr>
          <w:lang w:val="es-CR"/>
        </w:rPr>
        <w:t xml:space="preserve">Por otro lado, el deterioro cognitivo se define como una disminución de la función cognitiva que no alcanza la gravedad suficiente para determinar demencia. En nuestro caso, está asociado al daño vascular cerebral, lo que resulta en un déficit en uno o más dominios cerebrales, como funciones ejecutivas, atención, lenguaje, memoria y habilidades visoespaciales, así como en la dependencia en las actividades de la vida diaria. Por lo tanto, dado que constituye una causa importante de </w:t>
      </w:r>
      <w:r w:rsidRPr="000668FF">
        <w:rPr>
          <w:lang w:val="es-CR"/>
        </w:rPr>
        <w:lastRenderedPageBreak/>
        <w:t>discapacidad después de un EVC, como se menciona en el estudio de Cañizares (2019), donde se reporta una discapacidad severa del 9.7%, cifra similar a la encontrada en nuestro estudio, que fue del 3.5%, se deben priorizar las medidas preventivas y diagnósticas con anticipación para reducir la morbilidad y la mortalidad (Referencias 5, 14).</w:t>
      </w:r>
    </w:p>
    <w:p w14:paraId="6B22481D" w14:textId="77777777" w:rsidR="00917C3A" w:rsidRDefault="00917C3A" w:rsidP="00917C3A">
      <w:pPr>
        <w:jc w:val="both"/>
        <w:rPr>
          <w:lang w:val="es-CR"/>
        </w:rPr>
      </w:pPr>
      <w:r w:rsidRPr="000668FF">
        <w:rPr>
          <w:lang w:val="es-CR"/>
        </w:rPr>
        <w:t>Finalmente, la rehabilitación después de un EVC puede reducir las secuelas que afectan la calidad de vida del paciente. Por lo tanto, contar con un equipo multidisciplinario de profesionales especializados permite maximizar su alcance y, por ende, reducir la dependencia y los costos elevados para el sector salud, las familias y la sociedad en general (Referencia 4).</w:t>
      </w:r>
    </w:p>
    <w:p w14:paraId="1D3566AA" w14:textId="77777777" w:rsidR="00917C3A" w:rsidRPr="008B55A7" w:rsidRDefault="00917C3A" w:rsidP="00917C3A">
      <w:pPr>
        <w:jc w:val="both"/>
        <w:rPr>
          <w:lang w:val="es-CR"/>
        </w:rPr>
      </w:pPr>
    </w:p>
    <w:p w14:paraId="24B0516A" w14:textId="77777777" w:rsidR="00917C3A" w:rsidRPr="00A05503" w:rsidRDefault="00917C3A" w:rsidP="00917C3A">
      <w:pPr>
        <w:pStyle w:val="Ttulo1"/>
        <w:spacing w:after="0"/>
      </w:pPr>
      <w:r w:rsidRPr="00C779C2">
        <w:t>CONSLUSIONES</w:t>
      </w:r>
    </w:p>
    <w:p w14:paraId="1B301831" w14:textId="77777777" w:rsidR="00917C3A" w:rsidRPr="002B7CBB" w:rsidRDefault="00917C3A" w:rsidP="00917C3A">
      <w:pPr>
        <w:jc w:val="both"/>
        <w:rPr>
          <w:lang w:val="es-CR"/>
        </w:rPr>
      </w:pPr>
      <w:r w:rsidRPr="002B7CBB">
        <w:rPr>
          <w:lang w:val="es-CR"/>
        </w:rPr>
        <w:t xml:space="preserve">A nivel mundial, la enfermedad vascular cerebral (EVC) se posiciona como una de las principales causas de morbilidad, mortalidad y discapacidad física. En México, el deterioro cognitivo secundario a un evento vascular cerebral ha surgido como una de las principales causas de discapacidad física. Este estudio ha logrado cumplir con el objetivo propuesto al identificar la asociación entre el deterioro cognitivo y el nivel de discapacidad física en pacientes con antecedentes de Evento Vascular Cerebral en la </w:t>
      </w:r>
      <w:r>
        <w:rPr>
          <w:lang w:val="es-CR"/>
        </w:rPr>
        <w:t>UMF</w:t>
      </w:r>
      <w:r w:rsidRPr="002B7CBB">
        <w:rPr>
          <w:lang w:val="es-CR"/>
        </w:rPr>
        <w:t xml:space="preserve"> 62.</w:t>
      </w:r>
    </w:p>
    <w:p w14:paraId="1F1CCA9F" w14:textId="77777777" w:rsidR="00917C3A" w:rsidRPr="002B7CBB" w:rsidRDefault="00917C3A" w:rsidP="00917C3A">
      <w:pPr>
        <w:jc w:val="both"/>
        <w:rPr>
          <w:lang w:val="es-CR"/>
        </w:rPr>
      </w:pPr>
      <w:r w:rsidRPr="002B7CBB">
        <w:rPr>
          <w:lang w:val="es-CR"/>
        </w:rPr>
        <w:t xml:space="preserve">Existen evidencias que señalan ciertos factores que aumentan la incidencia o la gravedad de las secuelas de un evento vascular cerebral. Entre los más relevantes se encuentran la presencia de enfermedades crónicas, como la diabetes mellitus, la hipertensión arterial, la obesidad y el tabaquismo, ya que intervienen en la fisiopatología de un evento vascular cerebral. Además, tanto el género como la edad son factores de riesgo que generan </w:t>
      </w:r>
      <w:r w:rsidRPr="002B7CBB">
        <w:rPr>
          <w:lang w:val="es-CR"/>
        </w:rPr>
        <w:t>diferencias significativas en la incidencia, siendo más frecuente en hombres mayores de 50 años, quienes tienen un mayor riesgo de sufrir un accidente cerebrovascular y desarrollar secuelas que condicionan una calidad de vida dependiente de terceros.</w:t>
      </w:r>
    </w:p>
    <w:p w14:paraId="2E95FFCB" w14:textId="77777777" w:rsidR="00917C3A" w:rsidRPr="002B7CBB" w:rsidRDefault="00917C3A" w:rsidP="00917C3A">
      <w:pPr>
        <w:jc w:val="both"/>
        <w:rPr>
          <w:lang w:val="es-CR"/>
        </w:rPr>
      </w:pPr>
      <w:r w:rsidRPr="002B7CBB">
        <w:rPr>
          <w:lang w:val="es-CR"/>
        </w:rPr>
        <w:t>Durante el estudio, se trabajó con dos grupos de pacientes: aquellos con deterioro cognitivo y aquellos sin él. Se observó que los pacientes con mayor dependencia física eran aquellos con deterioro cognitivo. Por lo tanto, es crucial identificar áreas de intervención para el sistema de salud y promover el autocuidado con el objetivo de reducir problemas a nivel familiar, social y económico. Se debe priorizar la implementación temprana de medidas preventivas, rehabilitadoras y terapéuticas, con un enfoque de atención primaria orientado a disminuir la discapacidad severa o total en los pacientes.</w:t>
      </w:r>
    </w:p>
    <w:p w14:paraId="4B82D3E8" w14:textId="77777777" w:rsidR="00917C3A" w:rsidRDefault="00917C3A" w:rsidP="00917C3A">
      <w:pPr>
        <w:jc w:val="both"/>
        <w:rPr>
          <w:lang w:val="es-CR"/>
        </w:rPr>
      </w:pPr>
      <w:r w:rsidRPr="002B7CBB">
        <w:rPr>
          <w:lang w:val="es-CR"/>
        </w:rPr>
        <w:t>Finalmente, este estudio busca fomentar el interés y la implementación de políticas públicas en salud en el primer nivel de atención y prevención. Por ejemplo, asegurar un acceso efectivo, rápido y completo al servicio de rehabilitación para que los pacientes reciban atención oportuna y adecuada, evitando en gran medida las secuelas y la dependencia total.</w:t>
      </w:r>
    </w:p>
    <w:p w14:paraId="750837DB" w14:textId="77777777" w:rsidR="00917C3A" w:rsidRPr="008B55A7" w:rsidRDefault="00917C3A" w:rsidP="00917C3A">
      <w:pPr>
        <w:jc w:val="both"/>
        <w:rPr>
          <w:lang w:val="es-CR"/>
        </w:rPr>
      </w:pPr>
    </w:p>
    <w:p w14:paraId="5753BED3" w14:textId="77777777" w:rsidR="00917C3A" w:rsidRPr="00A05503" w:rsidRDefault="00917C3A" w:rsidP="00917C3A">
      <w:pPr>
        <w:pStyle w:val="Ttulo1"/>
        <w:spacing w:after="0"/>
      </w:pPr>
      <w:r w:rsidRPr="00A05503">
        <w:t>REFERENCIAS</w:t>
      </w:r>
    </w:p>
    <w:p w14:paraId="42CC7EA4" w14:textId="77777777" w:rsidR="00917C3A" w:rsidRPr="002C0780" w:rsidRDefault="00917C3A" w:rsidP="00917C3A">
      <w:pPr>
        <w:pStyle w:val="Prrafodelista"/>
        <w:numPr>
          <w:ilvl w:val="0"/>
          <w:numId w:val="31"/>
        </w:numPr>
        <w:ind w:left="360"/>
        <w:jc w:val="both"/>
        <w:rPr>
          <w:sz w:val="20"/>
          <w:szCs w:val="20"/>
          <w:lang w:val="es-CR"/>
        </w:rPr>
      </w:pPr>
      <w:r w:rsidRPr="002C0780">
        <w:rPr>
          <w:sz w:val="20"/>
          <w:szCs w:val="20"/>
          <w:shd w:val="clear" w:color="auto" w:fill="FFFFFF"/>
          <w:lang w:val="es-CR"/>
        </w:rPr>
        <w:t>Gutiérrez López Y- leen, Chang Fonseca D, Carranza Zamora AJ. Evento cerebro vascular isquémico agudo. Rev.méd. sinerg. [Internet]. 2020 Mayo</w:t>
      </w:r>
      <w:r w:rsidRPr="002C0780">
        <w:rPr>
          <w:sz w:val="20"/>
          <w:szCs w:val="20"/>
          <w:lang w:val="es-CR"/>
        </w:rPr>
        <w:t xml:space="preserve"> [citado el 13 abril 2024]</w:t>
      </w:r>
      <w:r w:rsidRPr="002C0780">
        <w:rPr>
          <w:sz w:val="20"/>
          <w:szCs w:val="20"/>
          <w:shd w:val="clear" w:color="auto" w:fill="FFFFFF"/>
          <w:lang w:val="es-CR"/>
        </w:rPr>
        <w:t xml:space="preserve">;5(5): 476. Disponible en: </w:t>
      </w:r>
    </w:p>
    <w:p w14:paraId="7455B795" w14:textId="1688002B" w:rsidR="00917C3A" w:rsidRPr="002C0780" w:rsidRDefault="00385255" w:rsidP="00D217FC">
      <w:pPr>
        <w:ind w:left="348"/>
        <w:jc w:val="both"/>
        <w:rPr>
          <w:color w:val="FF0000"/>
          <w:sz w:val="20"/>
          <w:szCs w:val="20"/>
          <w:shd w:val="clear" w:color="auto" w:fill="FFFFFF"/>
          <w:lang w:val="es-CR"/>
        </w:rPr>
      </w:pPr>
      <w:hyperlink r:id="rId21" w:history="1">
        <w:r w:rsidR="00917C3A" w:rsidRPr="002C0780">
          <w:rPr>
            <w:rStyle w:val="Hipervnculo"/>
            <w:sz w:val="20"/>
            <w:szCs w:val="20"/>
            <w:shd w:val="clear" w:color="auto" w:fill="FFFFFF"/>
            <w:lang w:val="es-CR"/>
          </w:rPr>
          <w:t>https://revistamedicasinergia.com/index.php/rms/article/view/476</w:t>
        </w:r>
      </w:hyperlink>
    </w:p>
    <w:p w14:paraId="1770C478" w14:textId="77777777" w:rsidR="00917C3A" w:rsidRPr="002C0780" w:rsidRDefault="00917C3A" w:rsidP="00917C3A">
      <w:pPr>
        <w:pStyle w:val="Prrafodelista"/>
        <w:numPr>
          <w:ilvl w:val="0"/>
          <w:numId w:val="31"/>
        </w:numPr>
        <w:ind w:left="360"/>
        <w:jc w:val="both"/>
        <w:rPr>
          <w:sz w:val="20"/>
          <w:szCs w:val="20"/>
          <w:lang w:eastAsia="es-MX"/>
        </w:rPr>
      </w:pPr>
      <w:r w:rsidRPr="002C0780">
        <w:rPr>
          <w:sz w:val="20"/>
          <w:szCs w:val="20"/>
          <w:lang w:val="es-CR" w:eastAsia="es-MX"/>
        </w:rPr>
        <w:t xml:space="preserve">Murillo-Bonilla LM. Deterioro Cognitivo Vascular. Revista De Medicina Clínica [Internet]. </w:t>
      </w:r>
      <w:r w:rsidRPr="002C0780">
        <w:rPr>
          <w:sz w:val="20"/>
          <w:szCs w:val="20"/>
          <w:lang w:eastAsia="es-MX"/>
        </w:rPr>
        <w:t>2019 Septiembre</w:t>
      </w:r>
      <w:r w:rsidRPr="002C0780">
        <w:rPr>
          <w:sz w:val="20"/>
          <w:szCs w:val="20"/>
        </w:rPr>
        <w:t xml:space="preserve"> [citado el 13 abril 2024]</w:t>
      </w:r>
      <w:r w:rsidRPr="002C0780">
        <w:rPr>
          <w:sz w:val="20"/>
          <w:szCs w:val="20"/>
          <w:lang w:eastAsia="es-MX"/>
        </w:rPr>
        <w:t xml:space="preserve">;3(3): 137-141. Disponible en: </w:t>
      </w:r>
    </w:p>
    <w:p w14:paraId="6A07DD34" w14:textId="7608DB97" w:rsidR="00917C3A" w:rsidRPr="002C0780" w:rsidRDefault="00385255" w:rsidP="00D217FC">
      <w:pPr>
        <w:ind w:left="348"/>
        <w:jc w:val="both"/>
        <w:rPr>
          <w:sz w:val="20"/>
          <w:szCs w:val="20"/>
          <w:lang w:eastAsia="es-MX"/>
        </w:rPr>
      </w:pPr>
      <w:hyperlink r:id="rId22" w:history="1">
        <w:r w:rsidR="00917C3A" w:rsidRPr="002C0780">
          <w:rPr>
            <w:rStyle w:val="Hipervnculo"/>
            <w:sz w:val="20"/>
            <w:szCs w:val="20"/>
            <w:lang w:eastAsia="es-MX"/>
          </w:rPr>
          <w:t>http://dx.doi.org/10.5281/zenodo.3465846</w:t>
        </w:r>
      </w:hyperlink>
    </w:p>
    <w:p w14:paraId="797769FE" w14:textId="63DDBD24" w:rsidR="00917C3A" w:rsidRPr="00D217FC" w:rsidRDefault="00917C3A" w:rsidP="00D217FC">
      <w:pPr>
        <w:pStyle w:val="Prrafodelista"/>
        <w:numPr>
          <w:ilvl w:val="0"/>
          <w:numId w:val="31"/>
        </w:numPr>
        <w:spacing w:after="160"/>
        <w:ind w:left="360"/>
        <w:jc w:val="both"/>
        <w:rPr>
          <w:rFonts w:eastAsia="Times New Roman"/>
          <w:sz w:val="20"/>
          <w:szCs w:val="20"/>
          <w:lang w:val="es-CR" w:eastAsia="es-MX"/>
        </w:rPr>
      </w:pPr>
      <w:r w:rsidRPr="002C0780">
        <w:rPr>
          <w:rFonts w:eastAsia="Times New Roman"/>
          <w:sz w:val="20"/>
          <w:szCs w:val="20"/>
          <w:lang w:val="en-US" w:eastAsia="es-MX"/>
        </w:rPr>
        <w:lastRenderedPageBreak/>
        <w:t xml:space="preserve">Katan M. Global Burden of Stroke. </w:t>
      </w:r>
      <w:r w:rsidRPr="002C0780">
        <w:rPr>
          <w:rFonts w:eastAsia="Times New Roman"/>
          <w:sz w:val="20"/>
          <w:szCs w:val="20"/>
          <w:lang w:val="es-CR" w:eastAsia="es-MX"/>
        </w:rPr>
        <w:t>Seminars in neurology [Internet]. 2018 April</w:t>
      </w:r>
      <w:r w:rsidRPr="002C0780">
        <w:rPr>
          <w:sz w:val="20"/>
          <w:szCs w:val="20"/>
          <w:lang w:val="es-CR"/>
        </w:rPr>
        <w:t xml:space="preserve"> [citado el 13 abril 2024]</w:t>
      </w:r>
      <w:r w:rsidRPr="002C0780">
        <w:rPr>
          <w:rFonts w:eastAsia="Times New Roman"/>
          <w:sz w:val="20"/>
          <w:szCs w:val="20"/>
          <w:lang w:val="es-CR" w:eastAsia="es-MX"/>
        </w:rPr>
        <w:t xml:space="preserve">;38(2): 208-211. Disponible en: </w:t>
      </w:r>
      <w:hyperlink r:id="rId23" w:history="1">
        <w:r w:rsidRPr="002C0780">
          <w:rPr>
            <w:rStyle w:val="Hipervnculo"/>
            <w:rFonts w:eastAsia="Times New Roman"/>
            <w:sz w:val="20"/>
            <w:szCs w:val="20"/>
            <w:lang w:val="es-CR" w:eastAsia="es-MX"/>
          </w:rPr>
          <w:t>http://dx.doi.org/10.1055/s-0038-1649503</w:t>
        </w:r>
      </w:hyperlink>
    </w:p>
    <w:p w14:paraId="752A1BFF" w14:textId="77777777" w:rsidR="00917C3A" w:rsidRPr="0007456C" w:rsidRDefault="00917C3A" w:rsidP="00917C3A">
      <w:pPr>
        <w:pStyle w:val="Prrafodelista"/>
        <w:numPr>
          <w:ilvl w:val="0"/>
          <w:numId w:val="31"/>
        </w:numPr>
        <w:ind w:left="360"/>
        <w:jc w:val="both"/>
        <w:rPr>
          <w:color w:val="000000"/>
          <w:sz w:val="20"/>
          <w:szCs w:val="20"/>
          <w:lang w:val="es-CR"/>
        </w:rPr>
      </w:pPr>
      <w:r w:rsidRPr="002C0780">
        <w:rPr>
          <w:color w:val="000000"/>
          <w:sz w:val="20"/>
          <w:szCs w:val="20"/>
          <w:lang w:val="es-CR"/>
        </w:rPr>
        <w:t xml:space="preserve">Alessandro Lucas, Olmos Lisandro E, Bonamico Lucas, Muzio Diana M, Ahumada Martina H, Russo María Julieta et al. Rehabilitación multidisciplinaria para pacientes adultos con accidente cerebrovascular. Medicina (B. Aires) [Internet]. </w:t>
      </w:r>
      <w:r w:rsidRPr="0007456C">
        <w:rPr>
          <w:color w:val="000000"/>
          <w:sz w:val="20"/>
          <w:szCs w:val="20"/>
          <w:lang w:val="es-CR"/>
        </w:rPr>
        <w:t xml:space="preserve">2020 Febrero [citado el 13 abril 2024]; 80(1): 54-68. Disponible en: </w:t>
      </w:r>
    </w:p>
    <w:p w14:paraId="4FF7D8C8" w14:textId="3B20FE23" w:rsidR="00917C3A" w:rsidRPr="0007456C" w:rsidRDefault="00385255" w:rsidP="00D217FC">
      <w:pPr>
        <w:ind w:left="348"/>
        <w:jc w:val="both"/>
        <w:rPr>
          <w:color w:val="000000"/>
          <w:sz w:val="20"/>
          <w:szCs w:val="20"/>
          <w:lang w:val="es-CR"/>
        </w:rPr>
      </w:pPr>
      <w:hyperlink r:id="rId24" w:history="1">
        <w:r w:rsidR="00917C3A" w:rsidRPr="0007456C">
          <w:rPr>
            <w:rStyle w:val="Hipervnculo"/>
            <w:sz w:val="20"/>
            <w:szCs w:val="20"/>
            <w:lang w:val="es-CR"/>
          </w:rPr>
          <w:t>http://www.scielo.org.ar/scielo.php?script=sci_arttext&amp;pid=S00257680202000010000&amp;ng=es</w:t>
        </w:r>
      </w:hyperlink>
    </w:p>
    <w:p w14:paraId="72445BE0" w14:textId="77777777" w:rsidR="00917C3A" w:rsidRPr="00D217FC" w:rsidRDefault="00917C3A" w:rsidP="00917C3A">
      <w:pPr>
        <w:pStyle w:val="Prrafodelista"/>
        <w:numPr>
          <w:ilvl w:val="0"/>
          <w:numId w:val="31"/>
        </w:numPr>
        <w:pBdr>
          <w:top w:val="nil"/>
          <w:left w:val="nil"/>
          <w:bottom w:val="nil"/>
          <w:right w:val="nil"/>
          <w:between w:val="nil"/>
          <w:bar w:val="nil"/>
        </w:pBdr>
        <w:ind w:left="360"/>
        <w:contextualSpacing w:val="0"/>
        <w:jc w:val="both"/>
        <w:rPr>
          <w:rStyle w:val="Ninguno"/>
          <w:sz w:val="20"/>
          <w:szCs w:val="20"/>
          <w:lang w:val="es-CR"/>
        </w:rPr>
      </w:pPr>
      <w:r w:rsidRPr="002C0780">
        <w:rPr>
          <w:rStyle w:val="Ninguno"/>
          <w:sz w:val="20"/>
          <w:szCs w:val="20"/>
          <w:lang w:val="es-CR"/>
        </w:rPr>
        <w:t xml:space="preserve">Cañizares-Villalba MJ, Calderón-Salavarría K, Vásquez-Cedeño D. Mortalidad y discapacidad posterior a un primer episodio de enfermedad cerebrovascular en Guayaquil, Ecuador. </w:t>
      </w:r>
      <w:r w:rsidRPr="00D217FC">
        <w:rPr>
          <w:rStyle w:val="Ninguno"/>
          <w:sz w:val="20"/>
          <w:szCs w:val="20"/>
          <w:lang w:val="es-CR"/>
        </w:rPr>
        <w:t xml:space="preserve">Neurología argentina [Internet]. 2019 Mayo </w:t>
      </w:r>
      <w:r w:rsidRPr="00D217FC">
        <w:rPr>
          <w:color w:val="000000"/>
          <w:sz w:val="20"/>
          <w:szCs w:val="20"/>
          <w:lang w:val="es-CR"/>
        </w:rPr>
        <w:t>[citado el 13 abril 2024]</w:t>
      </w:r>
      <w:r w:rsidRPr="00D217FC">
        <w:rPr>
          <w:rStyle w:val="Ninguno"/>
          <w:sz w:val="20"/>
          <w:szCs w:val="20"/>
          <w:lang w:val="es-CR"/>
        </w:rPr>
        <w:t xml:space="preserve">;11(2):61–6. Disponible en: </w:t>
      </w:r>
    </w:p>
    <w:p w14:paraId="7803C45F" w14:textId="356512D9" w:rsidR="00917C3A" w:rsidRPr="00D217FC" w:rsidRDefault="00385255" w:rsidP="00D217FC">
      <w:pPr>
        <w:pStyle w:val="Prrafodelista"/>
        <w:pBdr>
          <w:top w:val="nil"/>
          <w:left w:val="nil"/>
          <w:bottom w:val="nil"/>
          <w:right w:val="nil"/>
          <w:between w:val="nil"/>
          <w:bar w:val="nil"/>
        </w:pBdr>
        <w:spacing w:line="360" w:lineRule="auto"/>
        <w:ind w:left="348"/>
        <w:contextualSpacing w:val="0"/>
        <w:jc w:val="both"/>
        <w:rPr>
          <w:rStyle w:val="Hyperlink1"/>
          <w:sz w:val="20"/>
          <w:szCs w:val="20"/>
        </w:rPr>
      </w:pPr>
      <w:hyperlink r:id="rId25" w:history="1">
        <w:r w:rsidR="00917C3A" w:rsidRPr="002C0780">
          <w:rPr>
            <w:rStyle w:val="Hipervnculo"/>
            <w:sz w:val="20"/>
            <w:szCs w:val="20"/>
          </w:rPr>
          <w:t>http://dx.doi.org/10.1016/j.neuarg.2019.02.002</w:t>
        </w:r>
      </w:hyperlink>
    </w:p>
    <w:p w14:paraId="439156DD" w14:textId="77777777" w:rsidR="00917C3A" w:rsidRPr="002C0780" w:rsidRDefault="00917C3A" w:rsidP="00917C3A">
      <w:pPr>
        <w:pStyle w:val="Prrafodelista"/>
        <w:numPr>
          <w:ilvl w:val="0"/>
          <w:numId w:val="31"/>
        </w:numPr>
        <w:ind w:left="360"/>
        <w:jc w:val="both"/>
        <w:rPr>
          <w:rFonts w:eastAsia="Times New Roman"/>
          <w:sz w:val="20"/>
          <w:szCs w:val="20"/>
          <w:lang w:val="es-CR" w:eastAsia="es-MX"/>
        </w:rPr>
      </w:pPr>
      <w:r w:rsidRPr="002C0780">
        <w:rPr>
          <w:rFonts w:eastAsia="Times New Roman"/>
          <w:sz w:val="20"/>
          <w:szCs w:val="20"/>
          <w:lang w:val="en-US" w:eastAsia="es-MX"/>
        </w:rPr>
        <w:t xml:space="preserve">Li, Linxin. Risks of recurrent stroke and all serious vascular events after spontaneous intracerebral haemorrhage: pooled analyses of two population-based studies. </w:t>
      </w:r>
      <w:r w:rsidRPr="002C0780">
        <w:rPr>
          <w:rFonts w:eastAsia="Times New Roman"/>
          <w:sz w:val="20"/>
          <w:szCs w:val="20"/>
          <w:lang w:val="es-CR" w:eastAsia="es-MX"/>
        </w:rPr>
        <w:t xml:space="preserve">The Lancet. Neurology </w:t>
      </w:r>
      <w:r w:rsidRPr="002C0780">
        <w:rPr>
          <w:color w:val="000000"/>
          <w:sz w:val="20"/>
          <w:szCs w:val="20"/>
          <w:lang w:val="es-CR"/>
        </w:rPr>
        <w:t>[Internet]</w:t>
      </w:r>
      <w:r w:rsidRPr="002C0780">
        <w:rPr>
          <w:rFonts w:eastAsia="Times New Roman"/>
          <w:sz w:val="20"/>
          <w:szCs w:val="20"/>
          <w:lang w:val="es-CR" w:eastAsia="es-MX"/>
        </w:rPr>
        <w:t xml:space="preserve"> 2021 Junio </w:t>
      </w:r>
      <w:r w:rsidRPr="002C0780">
        <w:rPr>
          <w:color w:val="000000"/>
          <w:sz w:val="20"/>
          <w:szCs w:val="20"/>
          <w:lang w:val="es-CR"/>
        </w:rPr>
        <w:t>[citado el 13 abril 2024]</w:t>
      </w:r>
      <w:r w:rsidRPr="002C0780">
        <w:rPr>
          <w:rFonts w:eastAsia="Times New Roman"/>
          <w:sz w:val="20"/>
          <w:szCs w:val="20"/>
          <w:lang w:val="es-CR" w:eastAsia="es-MX"/>
        </w:rPr>
        <w:t xml:space="preserve">;20(6):437–47. Disponible en: </w:t>
      </w:r>
    </w:p>
    <w:p w14:paraId="51E73305" w14:textId="5FE49E68" w:rsidR="00917C3A" w:rsidRPr="00D217FC" w:rsidRDefault="00385255" w:rsidP="00D217FC">
      <w:pPr>
        <w:ind w:left="348"/>
        <w:jc w:val="both"/>
        <w:rPr>
          <w:rFonts w:eastAsia="Times New Roman"/>
          <w:sz w:val="20"/>
          <w:szCs w:val="20"/>
          <w:lang w:val="es-CR" w:eastAsia="es-MX"/>
        </w:rPr>
      </w:pPr>
      <w:hyperlink r:id="rId26" w:history="1">
        <w:r w:rsidR="00917C3A" w:rsidRPr="002C0780">
          <w:rPr>
            <w:rStyle w:val="Hipervnculo"/>
            <w:rFonts w:eastAsia="Times New Roman"/>
            <w:sz w:val="20"/>
            <w:szCs w:val="20"/>
            <w:lang w:val="es-CR" w:eastAsia="es-MX"/>
          </w:rPr>
          <w:t>http://dx.doi.org/10.1016/S1474-4422(21)00075-2</w:t>
        </w:r>
      </w:hyperlink>
    </w:p>
    <w:p w14:paraId="2D9D2501" w14:textId="77777777" w:rsidR="00917C3A" w:rsidRPr="002C0780" w:rsidRDefault="00917C3A" w:rsidP="00917C3A">
      <w:pPr>
        <w:pStyle w:val="Prrafodelista"/>
        <w:numPr>
          <w:ilvl w:val="0"/>
          <w:numId w:val="31"/>
        </w:numPr>
        <w:ind w:left="360"/>
        <w:jc w:val="both"/>
        <w:rPr>
          <w:rFonts w:eastAsia="Times New Roman"/>
          <w:sz w:val="20"/>
          <w:szCs w:val="20"/>
          <w:lang w:val="es-CR" w:eastAsia="es-MX"/>
        </w:rPr>
      </w:pPr>
      <w:r w:rsidRPr="002C0780">
        <w:rPr>
          <w:rFonts w:eastAsia="Times New Roman"/>
          <w:sz w:val="20"/>
          <w:szCs w:val="20"/>
          <w:lang w:val="es-CR" w:eastAsia="es-MX"/>
        </w:rPr>
        <w:t xml:space="preserve">Flores-Sotres, M. Correlación entre la gravedad del evento vascular cerebral isquémico por la escala NI HSS y la discapacidad a las 24 horas y 30 días por la escala de Rankin en pacientes atendidos en el servicio de urgencias. Rev Educ Investig Emer [Internet] 2022 Marzo </w:t>
      </w:r>
      <w:r w:rsidRPr="002C0780">
        <w:rPr>
          <w:color w:val="000000"/>
          <w:sz w:val="20"/>
          <w:szCs w:val="20"/>
          <w:lang w:val="es-CR"/>
        </w:rPr>
        <w:t>[citado el 13 abril 2024]</w:t>
      </w:r>
      <w:r w:rsidRPr="002C0780">
        <w:rPr>
          <w:rFonts w:eastAsia="Times New Roman"/>
          <w:sz w:val="20"/>
          <w:szCs w:val="20"/>
          <w:lang w:val="es-CR" w:eastAsia="es-MX"/>
        </w:rPr>
        <w:t xml:space="preserve">; 4(2):151-156. Disponible en: </w:t>
      </w:r>
    </w:p>
    <w:p w14:paraId="489B3670" w14:textId="1EE4BB75" w:rsidR="00917C3A" w:rsidRPr="00D217FC" w:rsidRDefault="00385255" w:rsidP="00D217FC">
      <w:pPr>
        <w:pStyle w:val="Prrafodelista"/>
        <w:ind w:left="348"/>
        <w:jc w:val="both"/>
        <w:rPr>
          <w:rFonts w:eastAsia="Times New Roman"/>
          <w:sz w:val="20"/>
          <w:szCs w:val="20"/>
          <w:lang w:val="es-CR" w:eastAsia="es-MX"/>
        </w:rPr>
      </w:pPr>
      <w:hyperlink r:id="rId27" w:history="1">
        <w:r w:rsidR="00917C3A" w:rsidRPr="002C0780">
          <w:rPr>
            <w:rStyle w:val="Hipervnculo"/>
            <w:rFonts w:eastAsia="Times New Roman"/>
            <w:sz w:val="20"/>
            <w:szCs w:val="20"/>
            <w:lang w:val="es-CR" w:eastAsia="es-MX"/>
          </w:rPr>
          <w:t>http://dx.doi.org/10.24875/REIE.21000134</w:t>
        </w:r>
      </w:hyperlink>
    </w:p>
    <w:p w14:paraId="05844AA6" w14:textId="77777777" w:rsidR="00917C3A" w:rsidRPr="002C0780" w:rsidRDefault="00917C3A" w:rsidP="00917C3A">
      <w:pPr>
        <w:pStyle w:val="Prrafodelista"/>
        <w:numPr>
          <w:ilvl w:val="0"/>
          <w:numId w:val="31"/>
        </w:numPr>
        <w:ind w:left="360"/>
        <w:jc w:val="both"/>
        <w:rPr>
          <w:color w:val="000000"/>
          <w:sz w:val="20"/>
          <w:szCs w:val="20"/>
          <w:lang w:val="es-CR"/>
        </w:rPr>
      </w:pPr>
      <w:r w:rsidRPr="002C0780">
        <w:rPr>
          <w:color w:val="000000"/>
          <w:sz w:val="20"/>
          <w:szCs w:val="20"/>
          <w:lang w:val="es-CR"/>
        </w:rPr>
        <w:t xml:space="preserve">García Alfonso Carolina, Martínez Reyes Andrea, García Valentina, Ricaurte-Fajardo Andrés, Torres Isabel, Coral Juliana. Actualización en diagnóstico y tratamiento del ataque cerebrovascular isquémico agudo. Univ. Med.  [Internet]. 2019 </w:t>
      </w:r>
      <w:r w:rsidRPr="002C0780">
        <w:rPr>
          <w:color w:val="000000"/>
          <w:sz w:val="20"/>
          <w:szCs w:val="20"/>
          <w:lang w:val="es-CR"/>
        </w:rPr>
        <w:t>Septiembre [citado el 13 de Abril]; 60(3): 41-57. Disponible en:</w:t>
      </w:r>
    </w:p>
    <w:p w14:paraId="3EE18553" w14:textId="4C8EF237" w:rsidR="00917C3A" w:rsidRPr="002C0780" w:rsidRDefault="00385255" w:rsidP="00D217FC">
      <w:pPr>
        <w:ind w:left="348"/>
        <w:jc w:val="both"/>
        <w:rPr>
          <w:color w:val="000000"/>
          <w:sz w:val="20"/>
          <w:szCs w:val="20"/>
          <w:lang w:val="es-CR"/>
        </w:rPr>
      </w:pPr>
      <w:hyperlink r:id="rId28" w:history="1">
        <w:r w:rsidR="00917C3A" w:rsidRPr="002C0780">
          <w:rPr>
            <w:rStyle w:val="Hipervnculo"/>
            <w:sz w:val="20"/>
            <w:szCs w:val="20"/>
            <w:lang w:val="es-CR"/>
          </w:rPr>
          <w:t>https://doi.org/10.11144/javeriana.umed60-3.actu</w:t>
        </w:r>
      </w:hyperlink>
    </w:p>
    <w:p w14:paraId="6CC48AE1" w14:textId="77777777" w:rsidR="00917C3A" w:rsidRPr="002C0780" w:rsidRDefault="00917C3A" w:rsidP="00917C3A">
      <w:pPr>
        <w:pStyle w:val="Prrafodelista"/>
        <w:numPr>
          <w:ilvl w:val="0"/>
          <w:numId w:val="31"/>
        </w:numPr>
        <w:ind w:left="360"/>
        <w:jc w:val="both"/>
        <w:rPr>
          <w:color w:val="000000"/>
          <w:sz w:val="20"/>
          <w:szCs w:val="20"/>
        </w:rPr>
      </w:pPr>
      <w:r w:rsidRPr="002C0780">
        <w:rPr>
          <w:rFonts w:eastAsia="Times New Roman"/>
          <w:sz w:val="20"/>
          <w:szCs w:val="20"/>
          <w:lang w:val="en-US" w:eastAsia="es-MX"/>
        </w:rPr>
        <w:t xml:space="preserve">Risk reduction of cognitive decline and dementia: [Internet].2019 January [citado el 13 de abril de 2024].1-96. </w:t>
      </w:r>
      <w:r w:rsidRPr="002C0780">
        <w:rPr>
          <w:rFonts w:eastAsia="Times New Roman"/>
          <w:sz w:val="20"/>
          <w:szCs w:val="20"/>
          <w:lang w:eastAsia="es-MX"/>
        </w:rPr>
        <w:t xml:space="preserve">Disponible en: </w:t>
      </w:r>
    </w:p>
    <w:p w14:paraId="5EFED5E2" w14:textId="45032B8F" w:rsidR="00917C3A" w:rsidRPr="00D217FC" w:rsidRDefault="00385255" w:rsidP="00D217FC">
      <w:pPr>
        <w:pStyle w:val="Prrafodelista"/>
        <w:ind w:left="348"/>
        <w:jc w:val="both"/>
        <w:rPr>
          <w:rFonts w:eastAsia="Times New Roman"/>
          <w:sz w:val="20"/>
          <w:szCs w:val="20"/>
          <w:lang w:eastAsia="es-MX"/>
        </w:rPr>
      </w:pPr>
      <w:hyperlink r:id="rId29" w:history="1">
        <w:r w:rsidR="00917C3A" w:rsidRPr="002C0780">
          <w:rPr>
            <w:rStyle w:val="Hipervnculo"/>
            <w:rFonts w:eastAsia="Times New Roman"/>
            <w:sz w:val="20"/>
            <w:szCs w:val="20"/>
            <w:lang w:eastAsia="es-MX"/>
          </w:rPr>
          <w:t>https://www.who.int/publications-detail-redirect/9789241550543</w:t>
        </w:r>
      </w:hyperlink>
    </w:p>
    <w:p w14:paraId="716036D6" w14:textId="77777777" w:rsidR="00917C3A" w:rsidRPr="002C0780" w:rsidRDefault="00917C3A" w:rsidP="00917C3A">
      <w:pPr>
        <w:pStyle w:val="Prrafodelista"/>
        <w:numPr>
          <w:ilvl w:val="0"/>
          <w:numId w:val="31"/>
        </w:numPr>
        <w:ind w:left="360"/>
        <w:jc w:val="both"/>
        <w:rPr>
          <w:rFonts w:eastAsia="Times New Roman"/>
          <w:sz w:val="20"/>
          <w:szCs w:val="20"/>
          <w:lang w:eastAsia="es-MX"/>
        </w:rPr>
      </w:pPr>
      <w:r w:rsidRPr="002C0780">
        <w:rPr>
          <w:rFonts w:eastAsia="Times New Roman"/>
          <w:sz w:val="20"/>
          <w:szCs w:val="20"/>
          <w:lang w:val="es-CR" w:eastAsia="es-MX"/>
        </w:rPr>
        <w:t xml:space="preserve">Sánchez-Arreola LD. Protocolo médico para la atención del infarto cerebral en el sistema de atención de llamadas de emergencia 9-1-1. Rev Educ Investig Emer [Internet]. 2019 Diciembre </w:t>
      </w:r>
      <w:r w:rsidRPr="002C0780">
        <w:rPr>
          <w:color w:val="000000"/>
          <w:sz w:val="20"/>
          <w:szCs w:val="20"/>
          <w:lang w:val="es-CR"/>
        </w:rPr>
        <w:t>[citado el 13 de Abril]</w:t>
      </w:r>
      <w:r w:rsidRPr="002C0780">
        <w:rPr>
          <w:rFonts w:eastAsia="Times New Roman"/>
          <w:sz w:val="20"/>
          <w:szCs w:val="20"/>
          <w:lang w:val="es-CR" w:eastAsia="es-MX"/>
        </w:rPr>
        <w:t xml:space="preserve">;1(1):3-7. </w:t>
      </w:r>
      <w:r w:rsidRPr="002C0780">
        <w:rPr>
          <w:rFonts w:eastAsia="Times New Roman"/>
          <w:sz w:val="20"/>
          <w:szCs w:val="20"/>
          <w:lang w:eastAsia="es-MX"/>
        </w:rPr>
        <w:t xml:space="preserve">Disponible en: </w:t>
      </w:r>
    </w:p>
    <w:p w14:paraId="7D40198B" w14:textId="318C1957" w:rsidR="00917C3A" w:rsidRPr="00D217FC" w:rsidRDefault="00385255" w:rsidP="00D217FC">
      <w:pPr>
        <w:pStyle w:val="Prrafodelista"/>
        <w:ind w:left="348"/>
        <w:jc w:val="both"/>
        <w:rPr>
          <w:rFonts w:eastAsia="Times New Roman"/>
          <w:sz w:val="20"/>
          <w:szCs w:val="20"/>
          <w:lang w:eastAsia="es-MX"/>
        </w:rPr>
      </w:pPr>
      <w:hyperlink r:id="rId30" w:history="1">
        <w:r w:rsidR="00917C3A" w:rsidRPr="002C0780">
          <w:rPr>
            <w:rStyle w:val="Hipervnculo"/>
            <w:rFonts w:eastAsia="Times New Roman"/>
            <w:sz w:val="20"/>
            <w:szCs w:val="20"/>
            <w:lang w:eastAsia="es-MX"/>
          </w:rPr>
          <w:t>http://dx.doi.org/10.24875/REIE.M19000001</w:t>
        </w:r>
      </w:hyperlink>
    </w:p>
    <w:p w14:paraId="1F20E115" w14:textId="77777777" w:rsidR="00917C3A" w:rsidRPr="002C0780" w:rsidRDefault="00917C3A" w:rsidP="00917C3A">
      <w:pPr>
        <w:pStyle w:val="Prrafodelista"/>
        <w:numPr>
          <w:ilvl w:val="0"/>
          <w:numId w:val="31"/>
        </w:numPr>
        <w:ind w:left="360"/>
        <w:jc w:val="both"/>
        <w:rPr>
          <w:color w:val="000000"/>
          <w:sz w:val="16"/>
          <w:szCs w:val="16"/>
        </w:rPr>
      </w:pPr>
      <w:r w:rsidRPr="002C0780">
        <w:rPr>
          <w:color w:val="000000"/>
          <w:sz w:val="20"/>
          <w:szCs w:val="20"/>
          <w:lang w:val="es-CR"/>
        </w:rPr>
        <w:t xml:space="preserve">Choreño-Parra José Alberto, Carnalla-Cortés Martha, Guadarrama-Ortiz Parménides. Enfermedad vascular cerebral isquémica: revisión extensa de la bibliografía para el médico de primer contacto. Med. interna Méx.  [revista en la Internet]. 2019 Febrero [citado el 13 de Abril];35(1): 61-79. </w:t>
      </w:r>
      <w:r w:rsidRPr="002C0780">
        <w:rPr>
          <w:color w:val="000000"/>
          <w:sz w:val="20"/>
          <w:szCs w:val="20"/>
        </w:rPr>
        <w:t>Disponible en:</w:t>
      </w:r>
      <w:r w:rsidRPr="002C0780">
        <w:rPr>
          <w:color w:val="000000"/>
          <w:sz w:val="16"/>
          <w:szCs w:val="16"/>
        </w:rPr>
        <w:t xml:space="preserve">  </w:t>
      </w:r>
    </w:p>
    <w:p w14:paraId="65209FFD" w14:textId="03A99CEF" w:rsidR="00917C3A" w:rsidRPr="00D217FC" w:rsidRDefault="00385255" w:rsidP="00D217FC">
      <w:pPr>
        <w:pStyle w:val="Prrafodelista"/>
        <w:ind w:left="348"/>
        <w:jc w:val="both"/>
        <w:rPr>
          <w:sz w:val="20"/>
          <w:szCs w:val="20"/>
        </w:rPr>
      </w:pPr>
      <w:hyperlink r:id="rId31" w:history="1">
        <w:r w:rsidR="00917C3A" w:rsidRPr="002C0780">
          <w:rPr>
            <w:rStyle w:val="Hipervnculo"/>
            <w:sz w:val="20"/>
            <w:szCs w:val="20"/>
          </w:rPr>
          <w:t>https://doi.org/10.24245/mim.v35i1.2212</w:t>
        </w:r>
      </w:hyperlink>
    </w:p>
    <w:p w14:paraId="25D95F67" w14:textId="226A7B9B" w:rsidR="00917C3A" w:rsidRPr="00D217FC" w:rsidRDefault="00917C3A" w:rsidP="00D217FC">
      <w:pPr>
        <w:pStyle w:val="Prrafodelista"/>
        <w:numPr>
          <w:ilvl w:val="0"/>
          <w:numId w:val="31"/>
        </w:numPr>
        <w:pBdr>
          <w:top w:val="nil"/>
          <w:left w:val="nil"/>
          <w:bottom w:val="nil"/>
          <w:right w:val="nil"/>
          <w:between w:val="nil"/>
          <w:bar w:val="nil"/>
        </w:pBdr>
        <w:ind w:left="360"/>
        <w:contextualSpacing w:val="0"/>
        <w:jc w:val="both"/>
        <w:rPr>
          <w:sz w:val="20"/>
          <w:szCs w:val="20"/>
          <w:lang w:val="en-US"/>
        </w:rPr>
      </w:pPr>
      <w:r w:rsidRPr="002C0780">
        <w:rPr>
          <w:sz w:val="20"/>
          <w:szCs w:val="20"/>
          <w:shd w:val="clear" w:color="auto" w:fill="FFFFFF"/>
          <w:lang w:val="en-US"/>
        </w:rPr>
        <w:t xml:space="preserve">Meyer, B. C., &amp; Lyden, P. D. The modified National Institutes of Health Stroke Scale: its time has come. International journal of stroke: official journal of the International Stroke Society, </w:t>
      </w:r>
      <w:r w:rsidRPr="002C0780">
        <w:rPr>
          <w:color w:val="000000"/>
          <w:sz w:val="20"/>
          <w:szCs w:val="20"/>
          <w:lang w:val="en-US"/>
        </w:rPr>
        <w:t xml:space="preserve">[Internet] </w:t>
      </w:r>
      <w:r w:rsidRPr="002C0780">
        <w:rPr>
          <w:color w:val="212121"/>
          <w:sz w:val="20"/>
          <w:szCs w:val="20"/>
          <w:shd w:val="clear" w:color="auto" w:fill="FFFFFF"/>
          <w:lang w:val="en-US"/>
        </w:rPr>
        <w:t xml:space="preserve">2009 </w:t>
      </w:r>
      <w:r w:rsidRPr="002C0780">
        <w:rPr>
          <w:color w:val="000000"/>
          <w:sz w:val="20"/>
          <w:szCs w:val="20"/>
          <w:lang w:val="en-US"/>
        </w:rPr>
        <w:t>[citado el 13 de Abril]</w:t>
      </w:r>
      <w:r w:rsidRPr="002C0780">
        <w:rPr>
          <w:sz w:val="20"/>
          <w:szCs w:val="20"/>
          <w:shd w:val="clear" w:color="auto" w:fill="FFFFFF"/>
          <w:lang w:val="en-US"/>
        </w:rPr>
        <w:t>;4(4), 267–273.</w:t>
      </w:r>
      <w:r w:rsidRPr="002C0780">
        <w:rPr>
          <w:rFonts w:eastAsia="Times New Roman"/>
          <w:sz w:val="20"/>
          <w:szCs w:val="20"/>
          <w:lang w:val="en-US" w:eastAsia="es-MX"/>
        </w:rPr>
        <w:t xml:space="preserve"> Disponible en:</w:t>
      </w:r>
      <w:r w:rsidRPr="002C0780">
        <w:rPr>
          <w:sz w:val="20"/>
          <w:szCs w:val="20"/>
          <w:shd w:val="clear" w:color="auto" w:fill="FFFFFF"/>
          <w:lang w:val="en-US"/>
        </w:rPr>
        <w:t xml:space="preserve"> </w:t>
      </w:r>
      <w:hyperlink r:id="rId32" w:history="1">
        <w:r w:rsidRPr="002C0780">
          <w:rPr>
            <w:rStyle w:val="Hipervnculo"/>
            <w:sz w:val="20"/>
            <w:szCs w:val="20"/>
            <w:shd w:val="clear" w:color="auto" w:fill="FFFFFF"/>
            <w:lang w:val="en-US"/>
          </w:rPr>
          <w:t>https://doi.org/10.1111/j.1747-4949.2009.00294.x</w:t>
        </w:r>
      </w:hyperlink>
    </w:p>
    <w:p w14:paraId="3797F8F7" w14:textId="1989121F" w:rsidR="00917C3A" w:rsidRPr="00D217FC" w:rsidRDefault="00917C3A" w:rsidP="00917C3A">
      <w:pPr>
        <w:pStyle w:val="Prrafodelista"/>
        <w:numPr>
          <w:ilvl w:val="0"/>
          <w:numId w:val="31"/>
        </w:numPr>
        <w:ind w:left="360"/>
        <w:jc w:val="both"/>
        <w:rPr>
          <w:color w:val="000000"/>
          <w:sz w:val="20"/>
          <w:szCs w:val="20"/>
          <w:lang w:val="es-CR"/>
        </w:rPr>
      </w:pPr>
      <w:r w:rsidRPr="002C0780">
        <w:rPr>
          <w:color w:val="000000"/>
          <w:sz w:val="20"/>
          <w:szCs w:val="20"/>
          <w:lang w:val="es-CR"/>
        </w:rPr>
        <w:t xml:space="preserve">Sequeiros-Chirinos Joel Mario, Alva-Díaz Carlos A., Pacheco-Barrios Kevin, Huaringa-Marcelo Jorge, Huamaní Charles, Camarena-Flores Carla E. et al. Diagnóstico y tratamiento de la etapa aguda del accidente cerebrovascular isquémico: Guía de práctica clínica del Seguro Social del Perú (EsSalud). Acta Méd. Perú [Internet]. 2020 Enero [citado el 13 de Abril];37(1): 54-73. Disponible en: </w:t>
      </w:r>
      <w:hyperlink r:id="rId33" w:history="1">
        <w:r w:rsidRPr="002C0780">
          <w:rPr>
            <w:rStyle w:val="Hipervnculo"/>
            <w:sz w:val="20"/>
            <w:szCs w:val="20"/>
            <w:lang w:val="es-CR"/>
          </w:rPr>
          <w:t>http://dx.doi.org/10.35663/amp.2020.371.869</w:t>
        </w:r>
      </w:hyperlink>
    </w:p>
    <w:p w14:paraId="416C8B40" w14:textId="5E8E1A5D" w:rsidR="00917C3A" w:rsidRPr="00D217FC" w:rsidRDefault="00917C3A" w:rsidP="00D217FC">
      <w:pPr>
        <w:pStyle w:val="Prrafodelista"/>
        <w:numPr>
          <w:ilvl w:val="0"/>
          <w:numId w:val="31"/>
        </w:numPr>
        <w:ind w:left="348"/>
        <w:jc w:val="both"/>
        <w:rPr>
          <w:rFonts w:eastAsia="Times New Roman"/>
          <w:sz w:val="20"/>
          <w:szCs w:val="20"/>
          <w:lang w:val="es-CR" w:eastAsia="es-MX"/>
        </w:rPr>
      </w:pPr>
      <w:r w:rsidRPr="002C0780">
        <w:rPr>
          <w:rFonts w:eastAsia="Times New Roman"/>
          <w:sz w:val="20"/>
          <w:szCs w:val="20"/>
          <w:lang w:val="es-CR" w:eastAsia="es-MX"/>
        </w:rPr>
        <w:t>Murillo-Bonilla LM. Redefiniendo la Ventana Terapéutica para la Enfermedad Vascular cerebral.</w:t>
      </w:r>
      <w:r w:rsidRPr="002C0780">
        <w:rPr>
          <w:color w:val="000000"/>
          <w:sz w:val="20"/>
          <w:szCs w:val="20"/>
          <w:lang w:val="es-CR"/>
        </w:rPr>
        <w:t xml:space="preserve"> [Internet] </w:t>
      </w:r>
      <w:r w:rsidRPr="002C0780">
        <w:rPr>
          <w:rFonts w:eastAsia="Times New Roman"/>
          <w:sz w:val="20"/>
          <w:szCs w:val="20"/>
          <w:lang w:val="es-CR" w:eastAsia="es-MX"/>
        </w:rPr>
        <w:t xml:space="preserve">2018 Mayo </w:t>
      </w:r>
      <w:r w:rsidRPr="002C0780">
        <w:rPr>
          <w:color w:val="000000"/>
          <w:sz w:val="20"/>
          <w:szCs w:val="20"/>
          <w:lang w:val="es-CR"/>
        </w:rPr>
        <w:t xml:space="preserve">[citado el 13 </w:t>
      </w:r>
      <w:r w:rsidRPr="002C0780">
        <w:rPr>
          <w:color w:val="000000"/>
          <w:sz w:val="20"/>
          <w:szCs w:val="20"/>
          <w:lang w:val="es-CR"/>
        </w:rPr>
        <w:lastRenderedPageBreak/>
        <w:t>de Abril]</w:t>
      </w:r>
      <w:r w:rsidRPr="002C0780">
        <w:rPr>
          <w:rFonts w:eastAsia="Times New Roman"/>
          <w:sz w:val="20"/>
          <w:szCs w:val="20"/>
          <w:lang w:val="es-CR" w:eastAsia="es-MX"/>
        </w:rPr>
        <w:t xml:space="preserve">;2(2),43–49. Disponible en: </w:t>
      </w:r>
      <w:hyperlink r:id="rId34" w:history="1">
        <w:r w:rsidRPr="002C0780">
          <w:rPr>
            <w:rStyle w:val="Hipervnculo"/>
            <w:rFonts w:eastAsia="Times New Roman"/>
            <w:sz w:val="20"/>
            <w:szCs w:val="20"/>
            <w:lang w:val="es-CR" w:eastAsia="es-MX"/>
          </w:rPr>
          <w:t>http://dx.doi.org/10.5281/zenodo.1258030</w:t>
        </w:r>
      </w:hyperlink>
    </w:p>
    <w:p w14:paraId="7A2F128C" w14:textId="5C443C4A" w:rsidR="00917C3A" w:rsidRPr="00D217FC" w:rsidRDefault="00917C3A" w:rsidP="00917C3A">
      <w:pPr>
        <w:pStyle w:val="Prrafodelista"/>
        <w:numPr>
          <w:ilvl w:val="0"/>
          <w:numId w:val="31"/>
        </w:numPr>
        <w:ind w:left="360"/>
        <w:jc w:val="both"/>
        <w:rPr>
          <w:sz w:val="20"/>
          <w:szCs w:val="20"/>
          <w:lang w:val="es-CR"/>
        </w:rPr>
      </w:pPr>
      <w:r w:rsidRPr="002C0780">
        <w:rPr>
          <w:sz w:val="20"/>
          <w:szCs w:val="20"/>
          <w:shd w:val="clear" w:color="auto" w:fill="FFFFFF"/>
          <w:lang w:val="es-CR"/>
        </w:rPr>
        <w:t xml:space="preserve">Sequeira RL. Deterioro cognitivo moderado y factores de riesgo. Rev Clin Esc Med. UCR-HSJD </w:t>
      </w:r>
      <w:r w:rsidRPr="002C0780">
        <w:rPr>
          <w:color w:val="000000"/>
          <w:sz w:val="20"/>
          <w:szCs w:val="20"/>
          <w:lang w:val="es-CR"/>
        </w:rPr>
        <w:t xml:space="preserve">[Internet] </w:t>
      </w:r>
      <w:r w:rsidRPr="002C0780">
        <w:rPr>
          <w:sz w:val="20"/>
          <w:szCs w:val="20"/>
          <w:shd w:val="clear" w:color="auto" w:fill="FFFFFF"/>
          <w:lang w:val="es-CR"/>
        </w:rPr>
        <w:t xml:space="preserve">2019 Octubre </w:t>
      </w:r>
      <w:r w:rsidRPr="002C0780">
        <w:rPr>
          <w:color w:val="000000"/>
          <w:sz w:val="20"/>
          <w:szCs w:val="20"/>
          <w:lang w:val="es-CR"/>
        </w:rPr>
        <w:t>[citado el 13 de Abril]</w:t>
      </w:r>
      <w:r w:rsidRPr="002C0780">
        <w:rPr>
          <w:sz w:val="20"/>
          <w:szCs w:val="20"/>
          <w:shd w:val="clear" w:color="auto" w:fill="FFFFFF"/>
          <w:lang w:val="es-CR"/>
        </w:rPr>
        <w:t>;9(5):16-22.</w:t>
      </w:r>
      <w:r w:rsidRPr="002C0780">
        <w:rPr>
          <w:rFonts w:eastAsia="Times New Roman"/>
          <w:sz w:val="20"/>
          <w:szCs w:val="20"/>
          <w:lang w:val="es-CR" w:eastAsia="es-MX"/>
        </w:rPr>
        <w:t xml:space="preserve"> Disponible en: </w:t>
      </w:r>
      <w:hyperlink r:id="rId35" w:history="1">
        <w:r w:rsidRPr="002C0780">
          <w:rPr>
            <w:rStyle w:val="Hipervnculo"/>
            <w:rFonts w:eastAsia="Times New Roman"/>
            <w:sz w:val="20"/>
            <w:szCs w:val="20"/>
            <w:lang w:val="es-CR" w:eastAsia="es-MX"/>
          </w:rPr>
          <w:t>http://dx.doi.org/10.15517/rc_ucr-hsjd.v9i5.38404</w:t>
        </w:r>
      </w:hyperlink>
    </w:p>
    <w:p w14:paraId="7AE76BE2" w14:textId="77777777" w:rsidR="00917C3A" w:rsidRPr="002C0780" w:rsidRDefault="00917C3A" w:rsidP="00917C3A">
      <w:pPr>
        <w:pStyle w:val="Prrafodelista"/>
        <w:numPr>
          <w:ilvl w:val="0"/>
          <w:numId w:val="31"/>
        </w:numPr>
        <w:pBdr>
          <w:top w:val="nil"/>
          <w:left w:val="nil"/>
          <w:bottom w:val="nil"/>
          <w:right w:val="nil"/>
          <w:between w:val="nil"/>
          <w:bar w:val="nil"/>
        </w:pBdr>
        <w:ind w:left="360"/>
        <w:contextualSpacing w:val="0"/>
        <w:jc w:val="both"/>
        <w:rPr>
          <w:sz w:val="20"/>
          <w:szCs w:val="20"/>
        </w:rPr>
      </w:pPr>
      <w:r w:rsidRPr="002C0780">
        <w:rPr>
          <w:rStyle w:val="Ninguno"/>
          <w:sz w:val="20"/>
          <w:szCs w:val="20"/>
          <w:lang w:val="es-CR"/>
        </w:rPr>
        <w:t xml:space="preserve">Montes CML. Evento vascular cerebral y la presencia de secuelas discapacitantes. Rev Mex Med Fis Rehab. </w:t>
      </w:r>
      <w:r w:rsidRPr="002C0780">
        <w:rPr>
          <w:color w:val="000000"/>
          <w:sz w:val="20"/>
          <w:szCs w:val="20"/>
          <w:lang w:val="es-CR"/>
        </w:rPr>
        <w:t>[Internet].</w:t>
      </w:r>
      <w:r w:rsidRPr="002C0780">
        <w:rPr>
          <w:rStyle w:val="Ninguno"/>
          <w:sz w:val="20"/>
          <w:szCs w:val="20"/>
          <w:lang w:val="es-CR"/>
        </w:rPr>
        <w:t xml:space="preserve"> 2018 </w:t>
      </w:r>
      <w:r w:rsidRPr="002C0780">
        <w:rPr>
          <w:color w:val="000000"/>
          <w:sz w:val="20"/>
          <w:szCs w:val="20"/>
          <w:lang w:val="es-CR"/>
        </w:rPr>
        <w:t>[citado el 13 de Abril]</w:t>
      </w:r>
      <w:r w:rsidRPr="002C0780">
        <w:rPr>
          <w:rStyle w:val="Ninguno"/>
          <w:sz w:val="20"/>
          <w:szCs w:val="20"/>
          <w:lang w:val="es-CR"/>
        </w:rPr>
        <w:t>;30(1-2):1-4.</w:t>
      </w:r>
      <w:r w:rsidRPr="002C0780">
        <w:rPr>
          <w:sz w:val="20"/>
          <w:szCs w:val="20"/>
          <w:lang w:val="es-CR"/>
        </w:rPr>
        <w:t xml:space="preserve"> </w:t>
      </w:r>
      <w:r w:rsidRPr="002C0780">
        <w:rPr>
          <w:rFonts w:eastAsia="Times New Roman"/>
          <w:sz w:val="20"/>
          <w:szCs w:val="20"/>
          <w:lang w:eastAsia="es-MX"/>
        </w:rPr>
        <w:t xml:space="preserve">Disponible en: </w:t>
      </w:r>
      <w:hyperlink r:id="rId36" w:history="1">
        <w:r w:rsidRPr="002C0780">
          <w:rPr>
            <w:rStyle w:val="Hipervnculo"/>
            <w:sz w:val="20"/>
            <w:szCs w:val="20"/>
          </w:rPr>
          <w:t>http://www.medigraphic.com/medicinafisica</w:t>
        </w:r>
      </w:hyperlink>
    </w:p>
    <w:p w14:paraId="1B22B404" w14:textId="77777777" w:rsidR="00917C3A" w:rsidRPr="002C0780" w:rsidRDefault="00917C3A" w:rsidP="00917C3A">
      <w:pPr>
        <w:spacing w:before="240"/>
        <w:jc w:val="both"/>
        <w:rPr>
          <w:sz w:val="20"/>
        </w:rPr>
      </w:pPr>
    </w:p>
    <w:p w14:paraId="2CCD5A2D" w14:textId="5D056E6C" w:rsidR="00917C3A" w:rsidRDefault="00917C3A" w:rsidP="008B55A7">
      <w:pPr>
        <w:jc w:val="both"/>
        <w:rPr>
          <w:lang w:val="es-CR"/>
        </w:rPr>
        <w:sectPr w:rsidR="00917C3A" w:rsidSect="00B56354">
          <w:type w:val="continuous"/>
          <w:pgSz w:w="12240" w:h="15840"/>
          <w:pgMar w:top="1440" w:right="1467" w:bottom="1440" w:left="1440" w:header="720" w:footer="720" w:gutter="0"/>
          <w:pgNumType w:start="1"/>
          <w:cols w:num="2" w:space="720"/>
        </w:sectPr>
      </w:pPr>
    </w:p>
    <w:p w14:paraId="27C35D0B" w14:textId="5738E739" w:rsidR="00D94F08" w:rsidRPr="00BA2F35" w:rsidRDefault="00D94F08" w:rsidP="00BA2F35">
      <w:pPr>
        <w:widowControl w:val="0"/>
        <w:pBdr>
          <w:top w:val="nil"/>
          <w:left w:val="nil"/>
          <w:bottom w:val="nil"/>
          <w:right w:val="nil"/>
          <w:between w:val="nil"/>
          <w:bar w:val="nil"/>
        </w:pBdr>
        <w:ind w:right="137"/>
        <w:jc w:val="both"/>
        <w:rPr>
          <w:color w:val="000000"/>
          <w:sz w:val="20"/>
          <w:lang w:val="en-US"/>
        </w:rPr>
      </w:pPr>
    </w:p>
    <w:sectPr w:rsidR="00D94F08" w:rsidRPr="00BA2F35" w:rsidSect="00B56354">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083D" w14:textId="77777777" w:rsidR="009926FD" w:rsidRDefault="009926FD" w:rsidP="00FB44B1">
      <w:pPr>
        <w:spacing w:line="240" w:lineRule="auto"/>
      </w:pPr>
      <w:r>
        <w:separator/>
      </w:r>
    </w:p>
  </w:endnote>
  <w:endnote w:type="continuationSeparator" w:id="0">
    <w:p w14:paraId="1AEAB185" w14:textId="77777777" w:rsidR="009926FD" w:rsidRDefault="009926FD"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D83F9E" w:rsidRPr="000A2BE8" w14:paraId="0DC6D396" w14:textId="77777777" w:rsidTr="009E4A48">
      <w:tc>
        <w:tcPr>
          <w:tcW w:w="700" w:type="pct"/>
          <w:shd w:val="clear" w:color="auto" w:fill="FFFFFF" w:themeFill="background1"/>
          <w:vAlign w:val="center"/>
        </w:tcPr>
        <w:p w14:paraId="31992B3B" w14:textId="19B32FC2" w:rsidR="00D83F9E" w:rsidRPr="003270F2" w:rsidRDefault="00AB638D" w:rsidP="00FB2E51">
          <w:pPr>
            <w:pStyle w:val="Piedepgina"/>
            <w:rPr>
              <w:rFonts w:ascii="Arial Black" w:hAnsi="Arial Black"/>
              <w:b/>
              <w:bCs/>
              <w:color w:val="002060"/>
            </w:rPr>
          </w:pPr>
          <w:r>
            <w:rPr>
              <w:rFonts w:ascii="Arial Black" w:hAnsi="Arial Black"/>
              <w:b/>
              <w:bCs/>
              <w:color w:val="002060"/>
            </w:rPr>
            <w:t>e1156</w:t>
          </w:r>
        </w:p>
      </w:tc>
      <w:tc>
        <w:tcPr>
          <w:tcW w:w="3658" w:type="pct"/>
          <w:vAlign w:val="center"/>
        </w:tcPr>
        <w:p w14:paraId="5C1C3B11" w14:textId="04F5BA5D" w:rsidR="00D83F9E" w:rsidRPr="005860BC" w:rsidRDefault="00D83F9E"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sidR="00D534AF">
            <w:rPr>
              <w:color w:val="002060"/>
              <w:sz w:val="16"/>
              <w:szCs w:val="16"/>
              <w:lang w:val="es-CR"/>
            </w:rPr>
            <w:t>6</w:t>
          </w:r>
          <w:r w:rsidRPr="005860BC">
            <w:rPr>
              <w:color w:val="002060"/>
              <w:sz w:val="16"/>
              <w:szCs w:val="16"/>
              <w:lang w:val="es-CR"/>
            </w:rPr>
            <w:t xml:space="preserve">), </w:t>
          </w:r>
          <w:r w:rsidR="00D534AF">
            <w:rPr>
              <w:color w:val="002060"/>
              <w:sz w:val="16"/>
              <w:szCs w:val="16"/>
              <w:lang w:val="es-CR"/>
            </w:rPr>
            <w:t>junio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D83F9E" w:rsidRPr="00AE5EA0" w:rsidRDefault="00385255" w:rsidP="00A83266">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69B632C6" w14:textId="77777777" w:rsidR="00D83F9E" w:rsidRPr="00AE5EA0" w:rsidRDefault="00D83F9E"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D83F9E" w:rsidRPr="00D0398E" w:rsidRDefault="00D83F9E"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14"/>
      <w:gridCol w:w="6862"/>
      <w:gridCol w:w="1204"/>
    </w:tblGrid>
    <w:tr w:rsidR="00D83F9E" w:rsidRPr="007B5563" w14:paraId="613288F4" w14:textId="77777777" w:rsidTr="00EA46DB">
      <w:trPr>
        <w:trHeight w:val="122"/>
      </w:trPr>
      <w:tc>
        <w:tcPr>
          <w:tcW w:w="700" w:type="pct"/>
          <w:shd w:val="clear" w:color="auto" w:fill="FFFFFF" w:themeFill="background1"/>
          <w:vAlign w:val="center"/>
        </w:tcPr>
        <w:p w14:paraId="75E166F2" w14:textId="1A4FA862" w:rsidR="00D83F9E" w:rsidRPr="003270F2" w:rsidRDefault="00AB638D" w:rsidP="00FB2E51">
          <w:pPr>
            <w:pStyle w:val="Piedepgina"/>
            <w:rPr>
              <w:rFonts w:ascii="Arial Black" w:hAnsi="Arial Black"/>
              <w:b/>
              <w:bCs/>
              <w:color w:val="002060"/>
            </w:rPr>
          </w:pPr>
          <w:r>
            <w:rPr>
              <w:rFonts w:ascii="Arial Black" w:hAnsi="Arial Black"/>
              <w:b/>
              <w:bCs/>
              <w:color w:val="002060"/>
            </w:rPr>
            <w:t>e1156</w:t>
          </w:r>
        </w:p>
      </w:tc>
      <w:tc>
        <w:tcPr>
          <w:tcW w:w="3658" w:type="pct"/>
          <w:vAlign w:val="center"/>
        </w:tcPr>
        <w:p w14:paraId="633751BD" w14:textId="2FB8BA66" w:rsidR="00D83F9E" w:rsidRPr="005860BC" w:rsidRDefault="00D83F9E"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sidR="00D534AF">
            <w:rPr>
              <w:color w:val="002060"/>
              <w:sz w:val="16"/>
              <w:szCs w:val="16"/>
              <w:lang w:val="es-CR"/>
            </w:rPr>
            <w:t>6</w:t>
          </w:r>
          <w:r w:rsidRPr="005860BC">
            <w:rPr>
              <w:color w:val="002060"/>
              <w:sz w:val="16"/>
              <w:szCs w:val="16"/>
              <w:lang w:val="es-CR"/>
            </w:rPr>
            <w:t xml:space="preserve">), </w:t>
          </w:r>
          <w:r w:rsidR="00D534AF">
            <w:rPr>
              <w:color w:val="002060"/>
              <w:sz w:val="16"/>
              <w:szCs w:val="16"/>
              <w:lang w:val="es-CR"/>
            </w:rPr>
            <w:t>junio</w:t>
          </w:r>
          <w:r>
            <w:rPr>
              <w:color w:val="002060"/>
              <w:sz w:val="16"/>
              <w:szCs w:val="16"/>
              <w:lang w:val="es-CR"/>
            </w:rPr>
            <w:t xml:space="preserve"> 2024</w:t>
          </w:r>
          <w:r w:rsidRPr="005860BC">
            <w:rPr>
              <w:color w:val="002060"/>
              <w:sz w:val="16"/>
              <w:szCs w:val="16"/>
              <w:lang w:val="es-CR"/>
            </w:rPr>
            <w:t xml:space="preserve"> - ISSN: 2215-4523 / e-ISSN: 2215-5279</w:t>
          </w:r>
        </w:p>
        <w:p w14:paraId="5C47BB5E" w14:textId="77777777" w:rsidR="00D83F9E" w:rsidRPr="00AE5EA0" w:rsidRDefault="00385255" w:rsidP="00EA46DB">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46EBDAB7" w14:textId="77777777" w:rsidR="00D83F9E" w:rsidRPr="00AE5EA0" w:rsidRDefault="00D83F9E"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D83F9E" w:rsidRPr="00EA46DB" w:rsidRDefault="00D83F9E">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E071" w14:textId="77777777" w:rsidR="009926FD" w:rsidRDefault="009926FD" w:rsidP="00FB44B1">
      <w:pPr>
        <w:spacing w:line="240" w:lineRule="auto"/>
      </w:pPr>
      <w:r>
        <w:separator/>
      </w:r>
    </w:p>
  </w:footnote>
  <w:footnote w:type="continuationSeparator" w:id="0">
    <w:p w14:paraId="3F306FCF" w14:textId="77777777" w:rsidR="009926FD" w:rsidRDefault="009926FD"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1240" w14:textId="78C6F0F4" w:rsidR="007769EC" w:rsidRDefault="00563C52" w:rsidP="000A7FFE">
    <w:pPr>
      <w:pStyle w:val="Encabezado"/>
      <w:jc w:val="right"/>
      <w:rPr>
        <w:color w:val="002060"/>
        <w:sz w:val="15"/>
        <w:szCs w:val="15"/>
        <w:lang w:val="es-CR"/>
      </w:rPr>
    </w:pPr>
    <w:r w:rsidRPr="00563C52">
      <w:rPr>
        <w:color w:val="002060"/>
        <w:sz w:val="15"/>
        <w:szCs w:val="15"/>
        <w:lang w:val="es-CR"/>
      </w:rPr>
      <w:t>Deterioro cognitivo y nivel de discapacidad funcional en pacientes con antecedente de evento vascular cerebral, en la UMF 6</w:t>
    </w:r>
    <w:r w:rsidR="007769EC" w:rsidRPr="007769EC">
      <w:rPr>
        <w:color w:val="002060"/>
        <w:sz w:val="15"/>
        <w:szCs w:val="15"/>
        <w:lang w:val="es-CR"/>
      </w:rPr>
      <w:t>2</w:t>
    </w:r>
  </w:p>
  <w:p w14:paraId="3736CAFC" w14:textId="0E66EBA0" w:rsidR="00D83F9E" w:rsidRPr="007769EC" w:rsidRDefault="00563C52" w:rsidP="007769EC">
    <w:pPr>
      <w:pStyle w:val="Encabezado"/>
      <w:jc w:val="right"/>
      <w:rPr>
        <w:bCs/>
        <w:color w:val="002060"/>
        <w:sz w:val="15"/>
        <w:szCs w:val="15"/>
        <w:lang w:val="es-CR"/>
      </w:rPr>
    </w:pPr>
    <w:r w:rsidRPr="00563C52">
      <w:rPr>
        <w:bCs/>
        <w:color w:val="002060"/>
        <w:sz w:val="15"/>
        <w:szCs w:val="15"/>
        <w:lang w:val="es-CR"/>
      </w:rPr>
      <w:t>Dra. Claudia Valeria Guerra José</w:t>
    </w:r>
    <w:r>
      <w:rPr>
        <w:bCs/>
        <w:color w:val="002060"/>
        <w:sz w:val="15"/>
        <w:szCs w:val="15"/>
        <w:lang w:val="es-CR"/>
      </w:rPr>
      <w:t>,</w:t>
    </w:r>
    <w:r w:rsidR="00127721">
      <w:rPr>
        <w:bCs/>
        <w:color w:val="002060"/>
        <w:sz w:val="15"/>
        <w:szCs w:val="15"/>
        <w:lang w:val="es-CR"/>
      </w:rPr>
      <w:t xml:space="preserve"> </w:t>
    </w:r>
    <w:r w:rsidR="00127721" w:rsidRPr="00127721">
      <w:rPr>
        <w:bCs/>
        <w:color w:val="002060"/>
        <w:sz w:val="15"/>
        <w:szCs w:val="15"/>
        <w:lang w:val="es-CR"/>
      </w:rPr>
      <w:t>Dr. Rubén Ríos Morales</w:t>
    </w:r>
    <w:r>
      <w:rPr>
        <w:bCs/>
        <w:color w:val="002060"/>
        <w:sz w:val="15"/>
        <w:szCs w:val="15"/>
        <w:lang w:val="es-C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E27DF9"/>
    <w:multiLevelType w:val="hybridMultilevel"/>
    <w:tmpl w:val="CE6C94E0"/>
    <w:lvl w:ilvl="0" w:tplc="FC3EA1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2B64B7"/>
    <w:multiLevelType w:val="multilevel"/>
    <w:tmpl w:val="388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C4607C"/>
    <w:multiLevelType w:val="hybridMultilevel"/>
    <w:tmpl w:val="5498DEBC"/>
    <w:lvl w:ilvl="0" w:tplc="60D65982">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F53EA"/>
    <w:multiLevelType w:val="hybridMultilevel"/>
    <w:tmpl w:val="CCB020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F95F6D"/>
    <w:multiLevelType w:val="hybridMultilevel"/>
    <w:tmpl w:val="1D861B7C"/>
    <w:numStyleLink w:val="ImportedStyle1"/>
  </w:abstractNum>
  <w:abstractNum w:abstractNumId="26"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64158F"/>
    <w:multiLevelType w:val="hybridMultilevel"/>
    <w:tmpl w:val="9B02317E"/>
    <w:numStyleLink w:val="Nmero"/>
  </w:abstractNum>
  <w:abstractNum w:abstractNumId="29"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3059478">
    <w:abstractNumId w:val="12"/>
  </w:num>
  <w:num w:numId="2" w16cid:durableId="593053822">
    <w:abstractNumId w:val="15"/>
  </w:num>
  <w:num w:numId="3" w16cid:durableId="1199003207">
    <w:abstractNumId w:val="1"/>
  </w:num>
  <w:num w:numId="4" w16cid:durableId="58332012">
    <w:abstractNumId w:val="26"/>
  </w:num>
  <w:num w:numId="5" w16cid:durableId="1575315769">
    <w:abstractNumId w:val="20"/>
  </w:num>
  <w:num w:numId="6" w16cid:durableId="394746815">
    <w:abstractNumId w:val="29"/>
  </w:num>
  <w:num w:numId="7" w16cid:durableId="726758055">
    <w:abstractNumId w:val="24"/>
  </w:num>
  <w:num w:numId="8" w16cid:durableId="1948541963">
    <w:abstractNumId w:val="19"/>
  </w:num>
  <w:num w:numId="9" w16cid:durableId="728306401">
    <w:abstractNumId w:val="27"/>
  </w:num>
  <w:num w:numId="10" w16cid:durableId="1466318474">
    <w:abstractNumId w:val="6"/>
  </w:num>
  <w:num w:numId="11" w16cid:durableId="1454596635">
    <w:abstractNumId w:val="16"/>
  </w:num>
  <w:num w:numId="12" w16cid:durableId="1791780014">
    <w:abstractNumId w:val="18"/>
  </w:num>
  <w:num w:numId="13" w16cid:durableId="990401290">
    <w:abstractNumId w:val="17"/>
  </w:num>
  <w:num w:numId="14" w16cid:durableId="355888905">
    <w:abstractNumId w:val="15"/>
    <w:lvlOverride w:ilvl="0">
      <w:startOverride w:val="1"/>
    </w:lvlOverride>
  </w:num>
  <w:num w:numId="15" w16cid:durableId="88934095">
    <w:abstractNumId w:val="3"/>
  </w:num>
  <w:num w:numId="16" w16cid:durableId="583153402">
    <w:abstractNumId w:val="10"/>
  </w:num>
  <w:num w:numId="17" w16cid:durableId="556283034">
    <w:abstractNumId w:val="8"/>
  </w:num>
  <w:num w:numId="18" w16cid:durableId="2080441213">
    <w:abstractNumId w:val="28"/>
  </w:num>
  <w:num w:numId="19" w16cid:durableId="206916115">
    <w:abstractNumId w:val="5"/>
  </w:num>
  <w:num w:numId="20" w16cid:durableId="628360216">
    <w:abstractNumId w:val="22"/>
  </w:num>
  <w:num w:numId="21" w16cid:durableId="794640125">
    <w:abstractNumId w:val="23"/>
  </w:num>
  <w:num w:numId="22" w16cid:durableId="275215465">
    <w:abstractNumId w:val="25"/>
  </w:num>
  <w:num w:numId="23" w16cid:durableId="1361122447">
    <w:abstractNumId w:val="13"/>
  </w:num>
  <w:num w:numId="24" w16cid:durableId="1518620816">
    <w:abstractNumId w:val="4"/>
  </w:num>
  <w:num w:numId="25" w16cid:durableId="762530489">
    <w:abstractNumId w:val="11"/>
  </w:num>
  <w:num w:numId="26" w16cid:durableId="782532400">
    <w:abstractNumId w:val="0"/>
  </w:num>
  <w:num w:numId="27" w16cid:durableId="1540361733">
    <w:abstractNumId w:val="21"/>
  </w:num>
  <w:num w:numId="28" w16cid:durableId="604266217">
    <w:abstractNumId w:val="7"/>
  </w:num>
  <w:num w:numId="29" w16cid:durableId="9260434">
    <w:abstractNumId w:val="9"/>
  </w:num>
  <w:num w:numId="30" w16cid:durableId="117771682">
    <w:abstractNumId w:val="14"/>
  </w:num>
  <w:num w:numId="31" w16cid:durableId="168250608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60EB"/>
    <w:rsid w:val="000346C9"/>
    <w:rsid w:val="00034982"/>
    <w:rsid w:val="00042238"/>
    <w:rsid w:val="00043AB5"/>
    <w:rsid w:val="00043C2B"/>
    <w:rsid w:val="0004660B"/>
    <w:rsid w:val="0005117F"/>
    <w:rsid w:val="00052E3E"/>
    <w:rsid w:val="00055418"/>
    <w:rsid w:val="000668FF"/>
    <w:rsid w:val="00070232"/>
    <w:rsid w:val="00072572"/>
    <w:rsid w:val="0007456C"/>
    <w:rsid w:val="00075BD9"/>
    <w:rsid w:val="00076420"/>
    <w:rsid w:val="00081327"/>
    <w:rsid w:val="00084354"/>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E5983"/>
    <w:rsid w:val="000F2611"/>
    <w:rsid w:val="001009B6"/>
    <w:rsid w:val="00101C66"/>
    <w:rsid w:val="00110886"/>
    <w:rsid w:val="001153F5"/>
    <w:rsid w:val="001207E8"/>
    <w:rsid w:val="00125954"/>
    <w:rsid w:val="00127721"/>
    <w:rsid w:val="00127B05"/>
    <w:rsid w:val="00127BFA"/>
    <w:rsid w:val="001333F2"/>
    <w:rsid w:val="00141C24"/>
    <w:rsid w:val="00142949"/>
    <w:rsid w:val="00146625"/>
    <w:rsid w:val="00161F5E"/>
    <w:rsid w:val="00176825"/>
    <w:rsid w:val="00177C1D"/>
    <w:rsid w:val="001816D5"/>
    <w:rsid w:val="00182689"/>
    <w:rsid w:val="001842D3"/>
    <w:rsid w:val="00191678"/>
    <w:rsid w:val="001A30C1"/>
    <w:rsid w:val="001A3529"/>
    <w:rsid w:val="001B21F3"/>
    <w:rsid w:val="001B7A37"/>
    <w:rsid w:val="001C3BAB"/>
    <w:rsid w:val="001C7B0E"/>
    <w:rsid w:val="001D54D3"/>
    <w:rsid w:val="001D7EE2"/>
    <w:rsid w:val="001F31F6"/>
    <w:rsid w:val="001F50BC"/>
    <w:rsid w:val="001F5308"/>
    <w:rsid w:val="001F553C"/>
    <w:rsid w:val="00200857"/>
    <w:rsid w:val="00200FC2"/>
    <w:rsid w:val="00203D83"/>
    <w:rsid w:val="00204322"/>
    <w:rsid w:val="002057B8"/>
    <w:rsid w:val="00206F53"/>
    <w:rsid w:val="00221512"/>
    <w:rsid w:val="002222A4"/>
    <w:rsid w:val="00223206"/>
    <w:rsid w:val="00225247"/>
    <w:rsid w:val="0023113C"/>
    <w:rsid w:val="00233C0B"/>
    <w:rsid w:val="00234766"/>
    <w:rsid w:val="00236C9A"/>
    <w:rsid w:val="0024018E"/>
    <w:rsid w:val="002406EF"/>
    <w:rsid w:val="00246028"/>
    <w:rsid w:val="002477D5"/>
    <w:rsid w:val="002549D2"/>
    <w:rsid w:val="002556F3"/>
    <w:rsid w:val="00255B69"/>
    <w:rsid w:val="00255B7D"/>
    <w:rsid w:val="002747EC"/>
    <w:rsid w:val="002A0C3C"/>
    <w:rsid w:val="002B1316"/>
    <w:rsid w:val="002B3F8E"/>
    <w:rsid w:val="002B4650"/>
    <w:rsid w:val="002B7CBB"/>
    <w:rsid w:val="002C0780"/>
    <w:rsid w:val="002C3364"/>
    <w:rsid w:val="002C3DD7"/>
    <w:rsid w:val="002C58A1"/>
    <w:rsid w:val="002C58CD"/>
    <w:rsid w:val="002C6183"/>
    <w:rsid w:val="002C72E7"/>
    <w:rsid w:val="002D5EAB"/>
    <w:rsid w:val="002D6C19"/>
    <w:rsid w:val="002E0DE0"/>
    <w:rsid w:val="002E2D23"/>
    <w:rsid w:val="002E3F2D"/>
    <w:rsid w:val="002E69AE"/>
    <w:rsid w:val="002E6D75"/>
    <w:rsid w:val="00300D0B"/>
    <w:rsid w:val="003013BF"/>
    <w:rsid w:val="003025AF"/>
    <w:rsid w:val="0031108A"/>
    <w:rsid w:val="00314114"/>
    <w:rsid w:val="003270F2"/>
    <w:rsid w:val="00330A98"/>
    <w:rsid w:val="00332CD9"/>
    <w:rsid w:val="00340FDF"/>
    <w:rsid w:val="0034265D"/>
    <w:rsid w:val="0034384A"/>
    <w:rsid w:val="00343947"/>
    <w:rsid w:val="00346951"/>
    <w:rsid w:val="0035587B"/>
    <w:rsid w:val="00356E6F"/>
    <w:rsid w:val="00357A9B"/>
    <w:rsid w:val="00366926"/>
    <w:rsid w:val="0037104B"/>
    <w:rsid w:val="0037110F"/>
    <w:rsid w:val="00373E27"/>
    <w:rsid w:val="003757A9"/>
    <w:rsid w:val="00376D99"/>
    <w:rsid w:val="00385255"/>
    <w:rsid w:val="00392F3F"/>
    <w:rsid w:val="003A3BE4"/>
    <w:rsid w:val="003A5BE6"/>
    <w:rsid w:val="003A6F09"/>
    <w:rsid w:val="003B01E0"/>
    <w:rsid w:val="003C2CE7"/>
    <w:rsid w:val="003D3923"/>
    <w:rsid w:val="003E573F"/>
    <w:rsid w:val="003E72EE"/>
    <w:rsid w:val="003E73B8"/>
    <w:rsid w:val="003F4E9F"/>
    <w:rsid w:val="004004A6"/>
    <w:rsid w:val="00403B40"/>
    <w:rsid w:val="00405803"/>
    <w:rsid w:val="00407E20"/>
    <w:rsid w:val="00411F51"/>
    <w:rsid w:val="00413139"/>
    <w:rsid w:val="00413875"/>
    <w:rsid w:val="00414414"/>
    <w:rsid w:val="00415000"/>
    <w:rsid w:val="00423DD5"/>
    <w:rsid w:val="0044651B"/>
    <w:rsid w:val="00467A1E"/>
    <w:rsid w:val="00471486"/>
    <w:rsid w:val="00473115"/>
    <w:rsid w:val="0049160E"/>
    <w:rsid w:val="00491DB7"/>
    <w:rsid w:val="0049254A"/>
    <w:rsid w:val="004A3A02"/>
    <w:rsid w:val="004B4040"/>
    <w:rsid w:val="004B5802"/>
    <w:rsid w:val="004C0E10"/>
    <w:rsid w:val="004D03FC"/>
    <w:rsid w:val="004D2A75"/>
    <w:rsid w:val="004D3BAD"/>
    <w:rsid w:val="004D7BD5"/>
    <w:rsid w:val="004E0917"/>
    <w:rsid w:val="004F1E55"/>
    <w:rsid w:val="004F37F1"/>
    <w:rsid w:val="004F4C54"/>
    <w:rsid w:val="00501438"/>
    <w:rsid w:val="00507BEF"/>
    <w:rsid w:val="00512939"/>
    <w:rsid w:val="005179EF"/>
    <w:rsid w:val="00525F1A"/>
    <w:rsid w:val="00526D59"/>
    <w:rsid w:val="00541DE8"/>
    <w:rsid w:val="00543E9B"/>
    <w:rsid w:val="00545AA6"/>
    <w:rsid w:val="005557B5"/>
    <w:rsid w:val="005616DE"/>
    <w:rsid w:val="0056368B"/>
    <w:rsid w:val="00563C52"/>
    <w:rsid w:val="00563D26"/>
    <w:rsid w:val="00565973"/>
    <w:rsid w:val="005669C3"/>
    <w:rsid w:val="0056790F"/>
    <w:rsid w:val="00571BD2"/>
    <w:rsid w:val="005725A3"/>
    <w:rsid w:val="0057580D"/>
    <w:rsid w:val="005860BC"/>
    <w:rsid w:val="00590875"/>
    <w:rsid w:val="00590B18"/>
    <w:rsid w:val="00591633"/>
    <w:rsid w:val="00592C8B"/>
    <w:rsid w:val="005A28CF"/>
    <w:rsid w:val="005A405C"/>
    <w:rsid w:val="005B4DFC"/>
    <w:rsid w:val="005C096A"/>
    <w:rsid w:val="005C4E32"/>
    <w:rsid w:val="005D5D58"/>
    <w:rsid w:val="005D62B0"/>
    <w:rsid w:val="005D676C"/>
    <w:rsid w:val="005E34CA"/>
    <w:rsid w:val="005F0546"/>
    <w:rsid w:val="005F1FA0"/>
    <w:rsid w:val="00601DC5"/>
    <w:rsid w:val="00601F32"/>
    <w:rsid w:val="006021DD"/>
    <w:rsid w:val="006032CD"/>
    <w:rsid w:val="00611782"/>
    <w:rsid w:val="006122DA"/>
    <w:rsid w:val="00623094"/>
    <w:rsid w:val="00634FDB"/>
    <w:rsid w:val="00636081"/>
    <w:rsid w:val="00636466"/>
    <w:rsid w:val="0064019C"/>
    <w:rsid w:val="0064362F"/>
    <w:rsid w:val="006458AD"/>
    <w:rsid w:val="00652DB8"/>
    <w:rsid w:val="006553FE"/>
    <w:rsid w:val="006647D1"/>
    <w:rsid w:val="006715DE"/>
    <w:rsid w:val="00674C6B"/>
    <w:rsid w:val="00674CB7"/>
    <w:rsid w:val="00682131"/>
    <w:rsid w:val="00683689"/>
    <w:rsid w:val="00686289"/>
    <w:rsid w:val="00690573"/>
    <w:rsid w:val="00694ABE"/>
    <w:rsid w:val="006A1304"/>
    <w:rsid w:val="006A1A38"/>
    <w:rsid w:val="006A2970"/>
    <w:rsid w:val="006A3048"/>
    <w:rsid w:val="006A4FB5"/>
    <w:rsid w:val="006A4FF4"/>
    <w:rsid w:val="006C06E7"/>
    <w:rsid w:val="006C6841"/>
    <w:rsid w:val="006D5030"/>
    <w:rsid w:val="006E05CB"/>
    <w:rsid w:val="006E6470"/>
    <w:rsid w:val="006E6C75"/>
    <w:rsid w:val="006F7BCA"/>
    <w:rsid w:val="00706C4F"/>
    <w:rsid w:val="007074A7"/>
    <w:rsid w:val="00721BE1"/>
    <w:rsid w:val="00726F5F"/>
    <w:rsid w:val="0073664C"/>
    <w:rsid w:val="00742429"/>
    <w:rsid w:val="00743CB5"/>
    <w:rsid w:val="00762F81"/>
    <w:rsid w:val="00767B51"/>
    <w:rsid w:val="007769EC"/>
    <w:rsid w:val="00780E32"/>
    <w:rsid w:val="00782C38"/>
    <w:rsid w:val="00793848"/>
    <w:rsid w:val="00794DEB"/>
    <w:rsid w:val="007A29CB"/>
    <w:rsid w:val="007A3F95"/>
    <w:rsid w:val="007A7CA1"/>
    <w:rsid w:val="007B067E"/>
    <w:rsid w:val="007B0E96"/>
    <w:rsid w:val="007B27A2"/>
    <w:rsid w:val="007B3122"/>
    <w:rsid w:val="007B5563"/>
    <w:rsid w:val="007D670F"/>
    <w:rsid w:val="007E0AD1"/>
    <w:rsid w:val="00802BAD"/>
    <w:rsid w:val="00806F56"/>
    <w:rsid w:val="00813903"/>
    <w:rsid w:val="00817627"/>
    <w:rsid w:val="008206FF"/>
    <w:rsid w:val="00821D61"/>
    <w:rsid w:val="008252CE"/>
    <w:rsid w:val="0082698E"/>
    <w:rsid w:val="00826FB5"/>
    <w:rsid w:val="00827495"/>
    <w:rsid w:val="008366EC"/>
    <w:rsid w:val="0084698F"/>
    <w:rsid w:val="00850576"/>
    <w:rsid w:val="0085674A"/>
    <w:rsid w:val="00863D29"/>
    <w:rsid w:val="00867BAA"/>
    <w:rsid w:val="00870E10"/>
    <w:rsid w:val="008735E3"/>
    <w:rsid w:val="008767A1"/>
    <w:rsid w:val="00877304"/>
    <w:rsid w:val="008842B7"/>
    <w:rsid w:val="00887E4B"/>
    <w:rsid w:val="008A4301"/>
    <w:rsid w:val="008B100F"/>
    <w:rsid w:val="008B55A7"/>
    <w:rsid w:val="008C34EE"/>
    <w:rsid w:val="008D2354"/>
    <w:rsid w:val="008D6242"/>
    <w:rsid w:val="008E19C4"/>
    <w:rsid w:val="008F4548"/>
    <w:rsid w:val="00903417"/>
    <w:rsid w:val="00912413"/>
    <w:rsid w:val="00917C3A"/>
    <w:rsid w:val="0093004E"/>
    <w:rsid w:val="009348FF"/>
    <w:rsid w:val="009376EE"/>
    <w:rsid w:val="00942013"/>
    <w:rsid w:val="00950901"/>
    <w:rsid w:val="00954AA9"/>
    <w:rsid w:val="009604E4"/>
    <w:rsid w:val="00961FF7"/>
    <w:rsid w:val="00962C15"/>
    <w:rsid w:val="00963CFA"/>
    <w:rsid w:val="00963F06"/>
    <w:rsid w:val="00970792"/>
    <w:rsid w:val="00973AFD"/>
    <w:rsid w:val="00984027"/>
    <w:rsid w:val="009844CE"/>
    <w:rsid w:val="00986966"/>
    <w:rsid w:val="009917FF"/>
    <w:rsid w:val="009926FD"/>
    <w:rsid w:val="009A4B47"/>
    <w:rsid w:val="009B7F61"/>
    <w:rsid w:val="009C0C22"/>
    <w:rsid w:val="009C2CDA"/>
    <w:rsid w:val="009D19A5"/>
    <w:rsid w:val="009D323B"/>
    <w:rsid w:val="009D51D3"/>
    <w:rsid w:val="009E2369"/>
    <w:rsid w:val="009E3933"/>
    <w:rsid w:val="009E4A40"/>
    <w:rsid w:val="009E4A48"/>
    <w:rsid w:val="009F0D91"/>
    <w:rsid w:val="00A019EC"/>
    <w:rsid w:val="00A05503"/>
    <w:rsid w:val="00A0671C"/>
    <w:rsid w:val="00A269AE"/>
    <w:rsid w:val="00A26B89"/>
    <w:rsid w:val="00A26EBF"/>
    <w:rsid w:val="00A313C9"/>
    <w:rsid w:val="00A37222"/>
    <w:rsid w:val="00A47DE4"/>
    <w:rsid w:val="00A5501E"/>
    <w:rsid w:val="00A5533B"/>
    <w:rsid w:val="00A5646B"/>
    <w:rsid w:val="00A579FB"/>
    <w:rsid w:val="00A60B14"/>
    <w:rsid w:val="00A65F12"/>
    <w:rsid w:val="00A73B18"/>
    <w:rsid w:val="00A83266"/>
    <w:rsid w:val="00A865C1"/>
    <w:rsid w:val="00A87D99"/>
    <w:rsid w:val="00A90252"/>
    <w:rsid w:val="00A91DF6"/>
    <w:rsid w:val="00A92DCA"/>
    <w:rsid w:val="00A93FC7"/>
    <w:rsid w:val="00AA1AB2"/>
    <w:rsid w:val="00AB3612"/>
    <w:rsid w:val="00AB638D"/>
    <w:rsid w:val="00AC131A"/>
    <w:rsid w:val="00AD0626"/>
    <w:rsid w:val="00AD35B5"/>
    <w:rsid w:val="00AD45A8"/>
    <w:rsid w:val="00AE32D5"/>
    <w:rsid w:val="00AE5EA0"/>
    <w:rsid w:val="00AF2D3A"/>
    <w:rsid w:val="00AF36EA"/>
    <w:rsid w:val="00B010EC"/>
    <w:rsid w:val="00B056CF"/>
    <w:rsid w:val="00B05B23"/>
    <w:rsid w:val="00B1240A"/>
    <w:rsid w:val="00B159CB"/>
    <w:rsid w:val="00B211D8"/>
    <w:rsid w:val="00B223D7"/>
    <w:rsid w:val="00B35BE4"/>
    <w:rsid w:val="00B36BC2"/>
    <w:rsid w:val="00B4048C"/>
    <w:rsid w:val="00B411ED"/>
    <w:rsid w:val="00B41AFF"/>
    <w:rsid w:val="00B42108"/>
    <w:rsid w:val="00B4790C"/>
    <w:rsid w:val="00B50487"/>
    <w:rsid w:val="00B56354"/>
    <w:rsid w:val="00B56E82"/>
    <w:rsid w:val="00B62FC8"/>
    <w:rsid w:val="00B643AF"/>
    <w:rsid w:val="00B66DB8"/>
    <w:rsid w:val="00B678BC"/>
    <w:rsid w:val="00B67A44"/>
    <w:rsid w:val="00B76820"/>
    <w:rsid w:val="00B76D4C"/>
    <w:rsid w:val="00B8084F"/>
    <w:rsid w:val="00B811D3"/>
    <w:rsid w:val="00B87723"/>
    <w:rsid w:val="00B910C0"/>
    <w:rsid w:val="00B926EB"/>
    <w:rsid w:val="00B97B37"/>
    <w:rsid w:val="00BA0731"/>
    <w:rsid w:val="00BA2F35"/>
    <w:rsid w:val="00BA60E7"/>
    <w:rsid w:val="00BB4F8D"/>
    <w:rsid w:val="00BB5856"/>
    <w:rsid w:val="00BB6E17"/>
    <w:rsid w:val="00BD27D0"/>
    <w:rsid w:val="00BE1149"/>
    <w:rsid w:val="00BE2B6B"/>
    <w:rsid w:val="00BE39FE"/>
    <w:rsid w:val="00BE40C1"/>
    <w:rsid w:val="00BF0D6C"/>
    <w:rsid w:val="00BF2D4E"/>
    <w:rsid w:val="00C04BFF"/>
    <w:rsid w:val="00C14C0D"/>
    <w:rsid w:val="00C1659B"/>
    <w:rsid w:val="00C1685D"/>
    <w:rsid w:val="00C21442"/>
    <w:rsid w:val="00C26E22"/>
    <w:rsid w:val="00C33436"/>
    <w:rsid w:val="00C458C7"/>
    <w:rsid w:val="00C51A9C"/>
    <w:rsid w:val="00C51C84"/>
    <w:rsid w:val="00C61933"/>
    <w:rsid w:val="00C62EDF"/>
    <w:rsid w:val="00C64513"/>
    <w:rsid w:val="00C753AC"/>
    <w:rsid w:val="00C779C2"/>
    <w:rsid w:val="00C80868"/>
    <w:rsid w:val="00C80C81"/>
    <w:rsid w:val="00C82362"/>
    <w:rsid w:val="00C8546D"/>
    <w:rsid w:val="00C85E89"/>
    <w:rsid w:val="00C96657"/>
    <w:rsid w:val="00CA2EEB"/>
    <w:rsid w:val="00CA6376"/>
    <w:rsid w:val="00CB09D2"/>
    <w:rsid w:val="00CB727A"/>
    <w:rsid w:val="00CC40C3"/>
    <w:rsid w:val="00CD2D9A"/>
    <w:rsid w:val="00CE12ED"/>
    <w:rsid w:val="00D0125A"/>
    <w:rsid w:val="00D035A4"/>
    <w:rsid w:val="00D0398E"/>
    <w:rsid w:val="00D03AB5"/>
    <w:rsid w:val="00D05840"/>
    <w:rsid w:val="00D07AEB"/>
    <w:rsid w:val="00D07E2E"/>
    <w:rsid w:val="00D128AE"/>
    <w:rsid w:val="00D141A5"/>
    <w:rsid w:val="00D217FC"/>
    <w:rsid w:val="00D27E4C"/>
    <w:rsid w:val="00D34331"/>
    <w:rsid w:val="00D34CBD"/>
    <w:rsid w:val="00D42D74"/>
    <w:rsid w:val="00D44C65"/>
    <w:rsid w:val="00D534AF"/>
    <w:rsid w:val="00D562AB"/>
    <w:rsid w:val="00D57625"/>
    <w:rsid w:val="00D6314F"/>
    <w:rsid w:val="00D65EEB"/>
    <w:rsid w:val="00D71153"/>
    <w:rsid w:val="00D726D5"/>
    <w:rsid w:val="00D730DD"/>
    <w:rsid w:val="00D7509A"/>
    <w:rsid w:val="00D75EC8"/>
    <w:rsid w:val="00D76A9D"/>
    <w:rsid w:val="00D77239"/>
    <w:rsid w:val="00D83D5A"/>
    <w:rsid w:val="00D83F9E"/>
    <w:rsid w:val="00D92739"/>
    <w:rsid w:val="00D9428C"/>
    <w:rsid w:val="00D94F08"/>
    <w:rsid w:val="00D950FE"/>
    <w:rsid w:val="00DA0F4F"/>
    <w:rsid w:val="00DA6D6E"/>
    <w:rsid w:val="00DB2859"/>
    <w:rsid w:val="00DC1F0D"/>
    <w:rsid w:val="00DC58A3"/>
    <w:rsid w:val="00DD2C2B"/>
    <w:rsid w:val="00DD687C"/>
    <w:rsid w:val="00DD7B34"/>
    <w:rsid w:val="00DE1917"/>
    <w:rsid w:val="00DF1B6A"/>
    <w:rsid w:val="00DF7D2D"/>
    <w:rsid w:val="00E05531"/>
    <w:rsid w:val="00E07855"/>
    <w:rsid w:val="00E07F97"/>
    <w:rsid w:val="00E1334F"/>
    <w:rsid w:val="00E13AF9"/>
    <w:rsid w:val="00E24236"/>
    <w:rsid w:val="00E477FF"/>
    <w:rsid w:val="00E47962"/>
    <w:rsid w:val="00E61038"/>
    <w:rsid w:val="00E64663"/>
    <w:rsid w:val="00E70AA0"/>
    <w:rsid w:val="00E72BAB"/>
    <w:rsid w:val="00E74A77"/>
    <w:rsid w:val="00E831AF"/>
    <w:rsid w:val="00E84242"/>
    <w:rsid w:val="00E87B35"/>
    <w:rsid w:val="00EA1E86"/>
    <w:rsid w:val="00EA46DB"/>
    <w:rsid w:val="00EB04F6"/>
    <w:rsid w:val="00EB0EB3"/>
    <w:rsid w:val="00EB335D"/>
    <w:rsid w:val="00EB425A"/>
    <w:rsid w:val="00EC4DC8"/>
    <w:rsid w:val="00ED5019"/>
    <w:rsid w:val="00ED7BE0"/>
    <w:rsid w:val="00EE1579"/>
    <w:rsid w:val="00EF08AA"/>
    <w:rsid w:val="00EF58F0"/>
    <w:rsid w:val="00F04209"/>
    <w:rsid w:val="00F04EFB"/>
    <w:rsid w:val="00F0579F"/>
    <w:rsid w:val="00F071EC"/>
    <w:rsid w:val="00F124B6"/>
    <w:rsid w:val="00F13885"/>
    <w:rsid w:val="00F160F9"/>
    <w:rsid w:val="00F206EC"/>
    <w:rsid w:val="00F21DB5"/>
    <w:rsid w:val="00F2332C"/>
    <w:rsid w:val="00F26099"/>
    <w:rsid w:val="00F30F8E"/>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C2E2D"/>
    <w:rsid w:val="00FC3A7C"/>
    <w:rsid w:val="00FC3C0B"/>
    <w:rsid w:val="00FC6568"/>
    <w:rsid w:val="00FC6BE0"/>
    <w:rsid w:val="00FD0971"/>
    <w:rsid w:val="00FE5A99"/>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uiPriority w:val="1"/>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character" w:styleId="Mencinsinresolver">
    <w:name w:val="Unresolved Mention"/>
    <w:basedOn w:val="Fuentedeprrafopredeter"/>
    <w:uiPriority w:val="99"/>
    <w:semiHidden/>
    <w:unhideWhenUsed/>
    <w:rsid w:val="00BA60E7"/>
    <w:rPr>
      <w:color w:val="605E5C"/>
      <w:shd w:val="clear" w:color="auto" w:fill="E1DFDD"/>
    </w:rPr>
  </w:style>
  <w:style w:type="character" w:customStyle="1" w:styleId="Hyperlink1">
    <w:name w:val="Hyperlink.1"/>
    <w:basedOn w:val="Fuentedeprrafopredeter"/>
    <w:rsid w:val="002C0780"/>
    <w:rPr>
      <w:color w:val="000000"/>
      <w:u w:val="none" w:color="000000"/>
      <w14:textOutline w14:w="0" w14:cap="rnd" w14:cmpd="sng" w14:algn="ctr">
        <w14:noFill/>
        <w14:prstDash w14:val="solid"/>
        <w14:bevel/>
      </w14:textOutline>
    </w:rPr>
  </w:style>
  <w:style w:type="table" w:styleId="Tablaconcuadrcula6concolores-nfasis5">
    <w:name w:val="Grid Table 6 Colorful Accent 5"/>
    <w:basedOn w:val="Tablanormal"/>
    <w:uiPriority w:val="51"/>
    <w:rsid w:val="00EB04F6"/>
    <w:pPr>
      <w:spacing w:line="240" w:lineRule="auto"/>
    </w:pPr>
    <w:rPr>
      <w:rFonts w:asciiTheme="minorHAnsi" w:eastAsiaTheme="minorHAnsi" w:hAnsiTheme="minorHAnsi" w:cstheme="minorBidi"/>
      <w:color w:val="31849B" w:themeColor="accent5" w:themeShade="BF"/>
      <w:lang w:val="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1">
    <w:name w:val="Grid Table 6 Colorful Accent 1"/>
    <w:basedOn w:val="Tablanormal"/>
    <w:uiPriority w:val="51"/>
    <w:rsid w:val="0007456C"/>
    <w:pPr>
      <w:spacing w:line="240" w:lineRule="auto"/>
    </w:pPr>
    <w:rPr>
      <w:rFonts w:asciiTheme="minorHAnsi" w:eastAsiaTheme="minorHAnsi" w:hAnsiTheme="minorHAnsi" w:cstheme="minorBidi"/>
      <w:color w:val="365F91" w:themeColor="accent1" w:themeShade="BF"/>
      <w:lang w:val="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mailto:rubenum16@gmail.com"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laudiaguerra2801@gmail.com" TargetMode="External"/><Relationship Id="rId20" Type="http://schemas.openxmlformats.org/officeDocument/2006/relationships/footer" Target="footer2.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1-5173-4645"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doi.org/10.31434/rms.v9i6.1156" TargetMode="External"/><Relationship Id="rId19" Type="http://schemas.openxmlformats.org/officeDocument/2006/relationships/footer" Target="footer1.xm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0-0003-0109-3619"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5823-85AE-45A5-A6EC-5936D912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10</Pages>
  <Words>3870</Words>
  <Characters>21289</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151</cp:revision>
  <cp:lastPrinted>2022-03-10T18:06:00Z</cp:lastPrinted>
  <dcterms:created xsi:type="dcterms:W3CDTF">2022-04-25T01:39:00Z</dcterms:created>
  <dcterms:modified xsi:type="dcterms:W3CDTF">2024-06-09T20:19:00Z</dcterms:modified>
</cp:coreProperties>
</file>